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4368E" w14:textId="4391CAFA" w:rsidR="009C2AD2" w:rsidRPr="00AE43B7" w:rsidRDefault="00C55FAC" w:rsidP="00FD68A0">
      <w:pPr>
        <w:pStyle w:val="Heading1"/>
        <w:ind w:left="0"/>
        <w:rPr>
          <w:rFonts w:ascii="Acumin Pro" w:hAnsi="Acumin Pro"/>
        </w:rPr>
      </w:pPr>
      <w:r>
        <w:rPr>
          <w:rFonts w:ascii="Acumin Pro" w:hAnsi="Acumin Pro"/>
          <w:color w:val="391335"/>
          <w:spacing w:val="-4"/>
        </w:rPr>
        <w:t>Viajes al extranjero e injerencia extranjera</w:t>
      </w:r>
    </w:p>
    <w:p w14:paraId="2294368F" w14:textId="4100D085" w:rsidR="009C2AD2" w:rsidRPr="00AE43B7" w:rsidRDefault="00C55FAC" w:rsidP="000364AB">
      <w:pPr>
        <w:pStyle w:val="BodyText"/>
        <w:spacing w:before="200" w:after="200" w:line="249" w:lineRule="auto"/>
        <w:rPr>
          <w:rFonts w:ascii="Acumin Pro" w:hAnsi="Acumin Pro"/>
        </w:rPr>
      </w:pPr>
      <w:r>
        <w:rPr>
          <w:rFonts w:ascii="Acumin Pro" w:hAnsi="Acumin Pro"/>
          <w:color w:val="231F20"/>
          <w:spacing w:val="-5"/>
          <w:w w:val="105"/>
        </w:rPr>
        <w:t xml:space="preserve">Al viajar al extranjero, algunas personas pueden </w:t>
      </w:r>
      <w:r w:rsidR="009E0875">
        <w:rPr>
          <w:rFonts w:ascii="Acumin Pro" w:hAnsi="Acumin Pro"/>
          <w:color w:val="231F20"/>
          <w:spacing w:val="-5"/>
          <w:w w:val="105"/>
          <w:lang w:val="es-ES"/>
        </w:rPr>
        <w:t>ser objeto</w:t>
      </w:r>
      <w:r>
        <w:rPr>
          <w:rFonts w:ascii="Acumin Pro" w:hAnsi="Acumin Pro"/>
          <w:color w:val="231F20"/>
          <w:spacing w:val="-5"/>
          <w:w w:val="105"/>
        </w:rPr>
        <w:t xml:space="preserve"> de injerencia extranjera </w:t>
      </w:r>
      <w:r w:rsidR="009E0875">
        <w:rPr>
          <w:rFonts w:ascii="Acumin Pro" w:hAnsi="Acumin Pro"/>
          <w:color w:val="231F20"/>
          <w:spacing w:val="-5"/>
          <w:w w:val="105"/>
          <w:lang w:val="es-ES"/>
        </w:rPr>
        <w:t xml:space="preserve">manifestada </w:t>
      </w:r>
      <w:r>
        <w:rPr>
          <w:rFonts w:ascii="Acumin Pro" w:hAnsi="Acumin Pro"/>
          <w:color w:val="231F20"/>
          <w:spacing w:val="-5"/>
          <w:w w:val="105"/>
        </w:rPr>
        <w:t xml:space="preserve">a través de un mayor escrutinio por parte de autoridades extranjeras, </w:t>
      </w:r>
      <w:r w:rsidR="009E0875">
        <w:rPr>
          <w:rFonts w:ascii="Acumin Pro" w:hAnsi="Acumin Pro"/>
          <w:color w:val="231F20"/>
          <w:spacing w:val="-5"/>
          <w:w w:val="105"/>
          <w:lang w:val="es-ES"/>
        </w:rPr>
        <w:t>por ejemplo, de</w:t>
      </w:r>
      <w:r w:rsidR="009E0875">
        <w:rPr>
          <w:rFonts w:ascii="Acumin Pro" w:hAnsi="Acumin Pro"/>
          <w:color w:val="231F20"/>
          <w:spacing w:val="-5"/>
          <w:w w:val="105"/>
        </w:rPr>
        <w:t xml:space="preserve"> </w:t>
      </w:r>
      <w:r>
        <w:rPr>
          <w:rFonts w:ascii="Acumin Pro" w:hAnsi="Acumin Pro"/>
          <w:color w:val="231F20"/>
          <w:spacing w:val="-5"/>
          <w:w w:val="105"/>
        </w:rPr>
        <w:t>sus agencias de seguridad e inteligencia.</w:t>
      </w:r>
    </w:p>
    <w:p w14:paraId="22943691" w14:textId="26324FF7" w:rsidR="009C2AD2" w:rsidRPr="00AE43B7" w:rsidRDefault="00C55FAC" w:rsidP="000364AB">
      <w:pPr>
        <w:pStyle w:val="BodyText"/>
        <w:spacing w:before="200" w:after="200" w:line="249" w:lineRule="auto"/>
        <w:rPr>
          <w:rFonts w:ascii="Acumin Pro" w:hAnsi="Acumin Pro"/>
        </w:rPr>
      </w:pPr>
      <w:r>
        <w:rPr>
          <w:rFonts w:ascii="Acumin Pro" w:hAnsi="Acumin Pro"/>
          <w:color w:val="231F20"/>
          <w:spacing w:val="-4"/>
          <w:w w:val="103"/>
        </w:rPr>
        <w:t xml:space="preserve">Es importante recordar que la mayoría de las personas que viajan al extranjero no </w:t>
      </w:r>
      <w:r w:rsidR="009E0875">
        <w:rPr>
          <w:rFonts w:ascii="Acumin Pro" w:hAnsi="Acumin Pro"/>
          <w:color w:val="231F20"/>
          <w:spacing w:val="-4"/>
          <w:w w:val="103"/>
          <w:lang w:val="es-ES"/>
        </w:rPr>
        <w:t>se encontrarán en</w:t>
      </w:r>
      <w:r w:rsidR="009E0875">
        <w:rPr>
          <w:rFonts w:ascii="Acumin Pro" w:hAnsi="Acumin Pro"/>
          <w:color w:val="231F20"/>
          <w:spacing w:val="-4"/>
          <w:w w:val="103"/>
        </w:rPr>
        <w:t xml:space="preserve"> </w:t>
      </w:r>
      <w:r>
        <w:rPr>
          <w:rFonts w:ascii="Acumin Pro" w:hAnsi="Acumin Pro"/>
          <w:color w:val="231F20"/>
          <w:spacing w:val="-4"/>
          <w:w w:val="103"/>
        </w:rPr>
        <w:t xml:space="preserve">este tipo de situaciones, y que los controles fronterizos son comunes en todo el mundo; por lo general, son </w:t>
      </w:r>
      <w:r w:rsidR="009E0875">
        <w:rPr>
          <w:rFonts w:ascii="Acumin Pro" w:hAnsi="Acumin Pro"/>
          <w:color w:val="231F20"/>
          <w:spacing w:val="-4"/>
          <w:w w:val="103"/>
          <w:lang w:val="es-ES"/>
        </w:rPr>
        <w:t>controles de rutina</w:t>
      </w:r>
      <w:r w:rsidR="009E0875">
        <w:rPr>
          <w:rFonts w:ascii="Acumin Pro" w:hAnsi="Acumin Pro"/>
          <w:color w:val="231F20"/>
          <w:spacing w:val="-4"/>
          <w:w w:val="103"/>
        </w:rPr>
        <w:t xml:space="preserve"> </w:t>
      </w:r>
      <w:r>
        <w:rPr>
          <w:rFonts w:ascii="Acumin Pro" w:hAnsi="Acumin Pro"/>
          <w:color w:val="231F20"/>
          <w:spacing w:val="-4"/>
          <w:w w:val="103"/>
        </w:rPr>
        <w:t>y no están relacionados con la injerencia extranjera.</w:t>
      </w:r>
    </w:p>
    <w:p w14:paraId="22943693" w14:textId="686DE536" w:rsidR="009C2AD2" w:rsidRPr="00AE7A01" w:rsidRDefault="00C55FAC" w:rsidP="00E956A8">
      <w:pPr>
        <w:pStyle w:val="BodyText"/>
        <w:spacing w:before="360"/>
        <w:rPr>
          <w:rFonts w:ascii="Acumin Pro" w:hAnsi="Acumin Pro"/>
          <w:b/>
          <w:bCs/>
        </w:rPr>
      </w:pPr>
      <w:r>
        <w:rPr>
          <w:rFonts w:ascii="Acumin Pro" w:hAnsi="Acumin Pro"/>
          <w:b/>
          <w:color w:val="231F20"/>
        </w:rPr>
        <w:t xml:space="preserve">Entre las personas que pueden </w:t>
      </w:r>
      <w:r w:rsidR="008C77FB">
        <w:rPr>
          <w:rFonts w:ascii="Acumin Pro" w:hAnsi="Acumin Pro"/>
          <w:b/>
          <w:color w:val="231F20"/>
          <w:lang w:val="es-ES"/>
        </w:rPr>
        <w:t>ser objeto de</w:t>
      </w:r>
      <w:r>
        <w:rPr>
          <w:rFonts w:ascii="Acumin Pro" w:hAnsi="Acumin Pro"/>
          <w:b/>
          <w:color w:val="231F20"/>
        </w:rPr>
        <w:t xml:space="preserve"> un mayor escrutinio relacionado con la injerencia extranjera se </w:t>
      </w:r>
      <w:r w:rsidR="008C77FB">
        <w:rPr>
          <w:rFonts w:ascii="Acumin Pro" w:hAnsi="Acumin Pro"/>
          <w:b/>
          <w:color w:val="231F20"/>
          <w:lang w:val="es-ES"/>
        </w:rPr>
        <w:t>encuentran las siguientes</w:t>
      </w:r>
      <w:r>
        <w:rPr>
          <w:rFonts w:ascii="Acumin Pro" w:hAnsi="Acumin Pro"/>
          <w:b/>
          <w:color w:val="231F20"/>
        </w:rPr>
        <w:t>:</w:t>
      </w:r>
    </w:p>
    <w:p w14:paraId="22943695" w14:textId="1E239798" w:rsidR="009C2AD2" w:rsidRPr="00AE43B7" w:rsidRDefault="00C55FAC" w:rsidP="008601FE">
      <w:pPr>
        <w:pStyle w:val="ListParagraph"/>
        <w:numPr>
          <w:ilvl w:val="0"/>
          <w:numId w:val="4"/>
        </w:numPr>
        <w:tabs>
          <w:tab w:val="left" w:pos="1145"/>
        </w:tabs>
        <w:spacing w:before="200" w:after="200"/>
        <w:ind w:left="714" w:hanging="357"/>
        <w:rPr>
          <w:rFonts w:ascii="Acumin Pro" w:hAnsi="Acumin Pro"/>
        </w:rPr>
      </w:pPr>
      <w:r>
        <w:rPr>
          <w:rFonts w:ascii="Acumin Pro" w:hAnsi="Acumin Pro"/>
          <w:color w:val="231F20"/>
          <w:spacing w:val="-2"/>
        </w:rPr>
        <w:t>personas que han sido objeto de acciones dirigidas contra ellas en Nueva Zelanda</w:t>
      </w:r>
      <w:r w:rsidR="008C77FB">
        <w:rPr>
          <w:rFonts w:ascii="Acumin Pro" w:hAnsi="Acumin Pro"/>
          <w:color w:val="231F20"/>
          <w:spacing w:val="-2"/>
          <w:lang w:val="es-ES"/>
        </w:rPr>
        <w:t>;</w:t>
      </w:r>
    </w:p>
    <w:p w14:paraId="22943696" w14:textId="1FF605E4" w:rsidR="009C2AD2" w:rsidRPr="00AE43B7" w:rsidRDefault="00C55FAC" w:rsidP="008601FE">
      <w:pPr>
        <w:pStyle w:val="ListParagraph"/>
        <w:numPr>
          <w:ilvl w:val="0"/>
          <w:numId w:val="4"/>
        </w:numPr>
        <w:tabs>
          <w:tab w:val="left" w:pos="1145"/>
        </w:tabs>
        <w:spacing w:before="200" w:after="200"/>
        <w:ind w:left="714" w:hanging="357"/>
        <w:rPr>
          <w:rFonts w:ascii="Acumin Pro" w:hAnsi="Acumin Pro"/>
        </w:rPr>
      </w:pPr>
      <w:r>
        <w:rPr>
          <w:rFonts w:ascii="Acumin Pro" w:hAnsi="Acumin Pro"/>
          <w:color w:val="231F20"/>
          <w:spacing w:val="1"/>
        </w:rPr>
        <w:t>miembros de la comunidad que se sabe que tienen opiniones discrepantes o que son críticos de Estados extranjeros</w:t>
      </w:r>
      <w:r w:rsidR="001F7404">
        <w:rPr>
          <w:rFonts w:ascii="Acumin Pro" w:hAnsi="Acumin Pro"/>
          <w:color w:val="231F20"/>
          <w:spacing w:val="1"/>
          <w:lang w:val="es-ES"/>
        </w:rPr>
        <w:t>;</w:t>
      </w:r>
    </w:p>
    <w:p w14:paraId="22943697" w14:textId="3C4CB0F4" w:rsidR="009C2AD2" w:rsidRPr="00AE43B7" w:rsidRDefault="00C55FAC" w:rsidP="008601FE">
      <w:pPr>
        <w:pStyle w:val="ListParagraph"/>
        <w:numPr>
          <w:ilvl w:val="0"/>
          <w:numId w:val="4"/>
        </w:numPr>
        <w:tabs>
          <w:tab w:val="left" w:pos="1145"/>
        </w:tabs>
        <w:spacing w:before="200" w:after="200"/>
        <w:ind w:left="714" w:hanging="357"/>
        <w:rPr>
          <w:rFonts w:ascii="Acumin Pro" w:hAnsi="Acumin Pro"/>
        </w:rPr>
      </w:pPr>
      <w:r>
        <w:rPr>
          <w:rFonts w:ascii="Acumin Pro" w:hAnsi="Acumin Pro"/>
          <w:color w:val="231F20"/>
          <w:spacing w:val="4"/>
        </w:rPr>
        <w:t>líderes comunitarios, defensores y activistas</w:t>
      </w:r>
      <w:r w:rsidR="001F7404">
        <w:rPr>
          <w:rFonts w:ascii="Acumin Pro" w:hAnsi="Acumin Pro"/>
          <w:color w:val="231F20"/>
          <w:spacing w:val="4"/>
          <w:lang w:val="es-ES"/>
        </w:rPr>
        <w:t>;</w:t>
      </w:r>
    </w:p>
    <w:p w14:paraId="22943698" w14:textId="652D5229" w:rsidR="009C2AD2" w:rsidRPr="00AE43B7" w:rsidRDefault="00C55FAC" w:rsidP="008601FE">
      <w:pPr>
        <w:pStyle w:val="ListParagraph"/>
        <w:numPr>
          <w:ilvl w:val="0"/>
          <w:numId w:val="4"/>
        </w:numPr>
        <w:tabs>
          <w:tab w:val="left" w:pos="1145"/>
        </w:tabs>
        <w:spacing w:before="200" w:after="200"/>
        <w:ind w:left="714" w:hanging="357"/>
        <w:rPr>
          <w:rFonts w:ascii="Acumin Pro" w:hAnsi="Acumin Pro"/>
        </w:rPr>
      </w:pPr>
      <w:r>
        <w:rPr>
          <w:rFonts w:ascii="Acumin Pro" w:hAnsi="Acumin Pro"/>
          <w:color w:val="231F20"/>
          <w:spacing w:val="1"/>
        </w:rPr>
        <w:t>miembros de la comunidad que viajan por motivos familiares, comunitarios o de negocios</w:t>
      </w:r>
      <w:r w:rsidR="001F7404">
        <w:rPr>
          <w:rFonts w:ascii="Acumin Pro" w:hAnsi="Acumin Pro"/>
          <w:color w:val="231F20"/>
          <w:spacing w:val="1"/>
          <w:lang w:val="es-ES"/>
        </w:rPr>
        <w:t>;</w:t>
      </w:r>
    </w:p>
    <w:p w14:paraId="22943699" w14:textId="0DD5FAC2" w:rsidR="009C2AD2" w:rsidRPr="00AE43B7" w:rsidRDefault="00C55FAC" w:rsidP="008601FE">
      <w:pPr>
        <w:pStyle w:val="ListParagraph"/>
        <w:numPr>
          <w:ilvl w:val="0"/>
          <w:numId w:val="4"/>
        </w:numPr>
        <w:tabs>
          <w:tab w:val="left" w:pos="1145"/>
        </w:tabs>
        <w:spacing w:before="200" w:after="200" w:line="285" w:lineRule="auto"/>
        <w:ind w:left="714" w:hanging="357"/>
        <w:rPr>
          <w:rFonts w:ascii="Acumin Pro" w:hAnsi="Acumin Pro"/>
        </w:rPr>
      </w:pPr>
      <w:r>
        <w:rPr>
          <w:rFonts w:ascii="Acumin Pro" w:hAnsi="Acumin Pro"/>
          <w:color w:val="231F20"/>
        </w:rPr>
        <w:t>miembros de la comunidad que trabajan para el Gobierno de Nueva Zelanda</w:t>
      </w:r>
      <w:r w:rsidR="001F7404">
        <w:rPr>
          <w:rFonts w:ascii="Acumin Pro" w:hAnsi="Acumin Pro"/>
          <w:color w:val="231F20"/>
          <w:lang w:val="es-ES"/>
        </w:rPr>
        <w:t xml:space="preserve"> o</w:t>
      </w:r>
      <w:r>
        <w:rPr>
          <w:rFonts w:ascii="Acumin Pro" w:hAnsi="Acumin Pro"/>
          <w:color w:val="231F20"/>
        </w:rPr>
        <w:t xml:space="preserve"> para ayuntamientos</w:t>
      </w:r>
      <w:r w:rsidR="001F7404">
        <w:rPr>
          <w:rFonts w:ascii="Acumin Pro" w:hAnsi="Acumin Pro"/>
          <w:color w:val="231F20"/>
          <w:lang w:val="es-ES"/>
        </w:rPr>
        <w:t>,</w:t>
      </w:r>
      <w:r>
        <w:rPr>
          <w:rFonts w:ascii="Acumin Pro" w:hAnsi="Acumin Pro"/>
          <w:color w:val="231F20"/>
        </w:rPr>
        <w:t xml:space="preserve"> o que ocupan cargos </w:t>
      </w:r>
      <w:r w:rsidR="001F7404">
        <w:rPr>
          <w:rFonts w:ascii="Acumin Pro" w:hAnsi="Acumin Pro"/>
          <w:color w:val="231F20"/>
          <w:lang w:val="es-ES"/>
        </w:rPr>
        <w:t>electivos</w:t>
      </w:r>
      <w:r w:rsidR="001F7404">
        <w:rPr>
          <w:rFonts w:ascii="Acumin Pro" w:hAnsi="Acumin Pro"/>
          <w:color w:val="231F20"/>
        </w:rPr>
        <w:t xml:space="preserve"> </w:t>
      </w:r>
      <w:r>
        <w:rPr>
          <w:rFonts w:ascii="Acumin Pro" w:hAnsi="Acumin Pro"/>
          <w:color w:val="231F20"/>
        </w:rPr>
        <w:t>en Nueva Zelanda</w:t>
      </w:r>
      <w:r w:rsidR="001F7404">
        <w:rPr>
          <w:rFonts w:ascii="Acumin Pro" w:hAnsi="Acumin Pro"/>
          <w:color w:val="231F20"/>
          <w:lang w:val="es-ES"/>
        </w:rPr>
        <w:t>;</w:t>
      </w:r>
    </w:p>
    <w:p w14:paraId="2294369A" w14:textId="7E86DDEC" w:rsidR="009C2AD2" w:rsidRPr="00AE43B7" w:rsidRDefault="00C55FAC" w:rsidP="008601FE">
      <w:pPr>
        <w:pStyle w:val="ListParagraph"/>
        <w:numPr>
          <w:ilvl w:val="0"/>
          <w:numId w:val="4"/>
        </w:numPr>
        <w:tabs>
          <w:tab w:val="left" w:pos="1145"/>
        </w:tabs>
        <w:spacing w:before="200" w:after="200" w:line="285" w:lineRule="auto"/>
        <w:ind w:left="714" w:hanging="357"/>
        <w:rPr>
          <w:rFonts w:ascii="Acumin Pro" w:hAnsi="Acumin Pro"/>
        </w:rPr>
      </w:pPr>
      <w:r>
        <w:rPr>
          <w:rFonts w:ascii="Acumin Pro" w:hAnsi="Acumin Pro"/>
          <w:color w:val="231F20"/>
          <w:spacing w:val="-1"/>
          <w:w w:val="102"/>
        </w:rPr>
        <w:t xml:space="preserve">miembros de la comunidad que trabajan en otros sectores clave, por ejemplo, </w:t>
      </w:r>
      <w:r w:rsidR="001F7404">
        <w:rPr>
          <w:rFonts w:ascii="Acumin Pro" w:hAnsi="Acumin Pro"/>
          <w:color w:val="231F20"/>
          <w:spacing w:val="-1"/>
          <w:w w:val="102"/>
          <w:lang w:val="es-ES"/>
        </w:rPr>
        <w:t xml:space="preserve">la </w:t>
      </w:r>
      <w:r>
        <w:rPr>
          <w:rFonts w:ascii="Acumin Pro" w:hAnsi="Acumin Pro"/>
          <w:color w:val="231F20"/>
          <w:spacing w:val="-1"/>
          <w:w w:val="102"/>
        </w:rPr>
        <w:t>infraestructura crítica, el ámbito académico o los medios de comunicación</w:t>
      </w:r>
      <w:r w:rsidR="001F7404">
        <w:rPr>
          <w:rFonts w:ascii="Acumin Pro" w:hAnsi="Acumin Pro"/>
          <w:color w:val="231F20"/>
          <w:spacing w:val="-1"/>
          <w:w w:val="102"/>
          <w:lang w:val="es-ES"/>
        </w:rPr>
        <w:t>;</w:t>
      </w:r>
    </w:p>
    <w:p w14:paraId="2294369B" w14:textId="77777777" w:rsidR="009C2AD2" w:rsidRPr="00AE43B7" w:rsidRDefault="00C55FAC" w:rsidP="008601FE">
      <w:pPr>
        <w:pStyle w:val="ListParagraph"/>
        <w:numPr>
          <w:ilvl w:val="0"/>
          <w:numId w:val="4"/>
        </w:numPr>
        <w:tabs>
          <w:tab w:val="left" w:pos="1145"/>
        </w:tabs>
        <w:spacing w:before="200" w:after="200"/>
        <w:ind w:left="714" w:hanging="357"/>
        <w:rPr>
          <w:rFonts w:ascii="Acumin Pro" w:hAnsi="Acumin Pro"/>
        </w:rPr>
      </w:pPr>
      <w:r>
        <w:rPr>
          <w:rFonts w:ascii="Acumin Pro" w:hAnsi="Acumin Pro"/>
          <w:color w:val="231F20"/>
          <w:spacing w:val="-5"/>
        </w:rPr>
        <w:t>antiguos refugiados.</w:t>
      </w:r>
    </w:p>
    <w:p w14:paraId="2294369D" w14:textId="4DF85FFF" w:rsidR="009C2AD2" w:rsidRPr="00AE7A01" w:rsidRDefault="00C55FAC" w:rsidP="00E956A8">
      <w:pPr>
        <w:pStyle w:val="BodyText"/>
        <w:spacing w:before="360"/>
        <w:rPr>
          <w:rFonts w:ascii="Acumin Pro" w:hAnsi="Acumin Pro"/>
          <w:b/>
          <w:bCs/>
          <w:color w:val="231F20"/>
        </w:rPr>
      </w:pPr>
      <w:r>
        <w:rPr>
          <w:rFonts w:ascii="Acumin Pro" w:hAnsi="Acumin Pro"/>
          <w:b/>
          <w:color w:val="231F20"/>
        </w:rPr>
        <w:t>Las personas pueden enfrentar distintos riesgos según el país, entre ellos:</w:t>
      </w:r>
    </w:p>
    <w:p w14:paraId="2294369F" w14:textId="11920B0E" w:rsidR="009C2AD2" w:rsidRPr="00144994" w:rsidRDefault="006F2CE9" w:rsidP="006A09EE">
      <w:pPr>
        <w:pStyle w:val="ListParagraph"/>
        <w:numPr>
          <w:ilvl w:val="0"/>
          <w:numId w:val="5"/>
        </w:numPr>
        <w:tabs>
          <w:tab w:val="left" w:pos="1145"/>
        </w:tabs>
        <w:spacing w:before="200" w:after="200" w:line="285" w:lineRule="auto"/>
        <w:ind w:left="714" w:hanging="357"/>
        <w:rPr>
          <w:rFonts w:ascii="Acumin Pro" w:hAnsi="Acumin Pro"/>
        </w:rPr>
      </w:pPr>
      <w:r>
        <w:rPr>
          <w:rFonts w:ascii="Acumin Pro" w:hAnsi="Acumin Pro"/>
          <w:b/>
          <w:color w:val="231F20"/>
          <w:spacing w:val="-7"/>
          <w:w w:val="105"/>
          <w:lang w:val="es-ES"/>
        </w:rPr>
        <w:t>que sean</w:t>
      </w:r>
      <w:r>
        <w:rPr>
          <w:rFonts w:ascii="Acumin Pro" w:hAnsi="Acumin Pro"/>
          <w:b/>
          <w:color w:val="231F20"/>
          <w:spacing w:val="-7"/>
          <w:w w:val="105"/>
        </w:rPr>
        <w:t xml:space="preserve"> </w:t>
      </w:r>
      <w:r w:rsidR="00C55FAC">
        <w:rPr>
          <w:rFonts w:ascii="Acumin Pro" w:hAnsi="Acumin Pro"/>
          <w:b/>
          <w:color w:val="231F20"/>
          <w:spacing w:val="-7"/>
          <w:w w:val="105"/>
        </w:rPr>
        <w:t xml:space="preserve">objeto de interrogatorios innecesarios </w:t>
      </w:r>
      <w:r w:rsidR="00C55FAC">
        <w:rPr>
          <w:rFonts w:ascii="Acumin Pro" w:hAnsi="Acumin Pro"/>
          <w:color w:val="231F20"/>
          <w:spacing w:val="-7"/>
          <w:w w:val="105"/>
        </w:rPr>
        <w:t>por parte de las autoridades locales, por ejemplo, sobre planes de viaje, actividades o contactos</w:t>
      </w:r>
      <w:r w:rsidR="00936511">
        <w:rPr>
          <w:rFonts w:ascii="Acumin Pro" w:hAnsi="Acumin Pro"/>
          <w:color w:val="231F20"/>
          <w:spacing w:val="-7"/>
          <w:w w:val="105"/>
          <w:lang w:val="es-ES"/>
        </w:rPr>
        <w:t>;</w:t>
      </w:r>
    </w:p>
    <w:p w14:paraId="229436A0" w14:textId="7582BA3F" w:rsidR="009C2AD2" w:rsidRPr="00144994" w:rsidRDefault="00C55FAC" w:rsidP="006A09EE">
      <w:pPr>
        <w:pStyle w:val="ListParagraph"/>
        <w:numPr>
          <w:ilvl w:val="0"/>
          <w:numId w:val="5"/>
        </w:numPr>
        <w:tabs>
          <w:tab w:val="left" w:pos="1145"/>
        </w:tabs>
        <w:spacing w:before="200" w:after="200" w:line="285" w:lineRule="auto"/>
        <w:ind w:left="714" w:hanging="357"/>
        <w:rPr>
          <w:rFonts w:ascii="Acumin Pro" w:hAnsi="Acumin Pro"/>
        </w:rPr>
      </w:pPr>
      <w:r>
        <w:rPr>
          <w:rFonts w:ascii="Acumin Pro" w:hAnsi="Acumin Pro"/>
          <w:b/>
          <w:color w:val="231F20"/>
          <w:spacing w:val="-7"/>
          <w:w w:val="105"/>
        </w:rPr>
        <w:t>que se les niegue la entrada o</w:t>
      </w:r>
      <w:r>
        <w:rPr>
          <w:rFonts w:ascii="Acumin Pro" w:hAnsi="Acumin Pro"/>
          <w:b/>
          <w:color w:val="231F20"/>
          <w:w w:val="105"/>
        </w:rPr>
        <w:t xml:space="preserve"> la salida</w:t>
      </w:r>
      <w:r>
        <w:rPr>
          <w:rFonts w:ascii="Acumin Pro" w:hAnsi="Acumin Pro"/>
          <w:color w:val="231F20"/>
          <w:spacing w:val="-6"/>
          <w:w w:val="105"/>
        </w:rPr>
        <w:t xml:space="preserve">, por ejemplo, </w:t>
      </w:r>
      <w:r w:rsidR="0055276A">
        <w:rPr>
          <w:rFonts w:ascii="Acumin Pro" w:hAnsi="Acumin Pro"/>
          <w:color w:val="231F20"/>
          <w:spacing w:val="-6"/>
          <w:w w:val="105"/>
          <w:lang w:val="es-ES"/>
        </w:rPr>
        <w:t>que se les impida embarcar</w:t>
      </w:r>
      <w:r>
        <w:rPr>
          <w:rFonts w:ascii="Acumin Pro" w:hAnsi="Acumin Pro"/>
          <w:color w:val="231F20"/>
          <w:spacing w:val="-6"/>
          <w:w w:val="105"/>
        </w:rPr>
        <w:t xml:space="preserve"> en vuelos o </w:t>
      </w:r>
      <w:r w:rsidR="0055276A">
        <w:rPr>
          <w:rFonts w:ascii="Acumin Pro" w:hAnsi="Acumin Pro"/>
          <w:color w:val="231F20"/>
          <w:spacing w:val="-6"/>
          <w:w w:val="105"/>
          <w:lang w:val="es-ES"/>
        </w:rPr>
        <w:t>ingresar</w:t>
      </w:r>
      <w:r>
        <w:rPr>
          <w:rFonts w:ascii="Acumin Pro" w:hAnsi="Acumin Pro"/>
          <w:color w:val="231F20"/>
          <w:spacing w:val="-6"/>
          <w:w w:val="105"/>
        </w:rPr>
        <w:t xml:space="preserve"> en puestos de control fronterizo</w:t>
      </w:r>
      <w:r w:rsidR="00936511">
        <w:rPr>
          <w:rFonts w:ascii="Acumin Pro" w:hAnsi="Acumin Pro"/>
          <w:color w:val="231F20"/>
          <w:spacing w:val="-6"/>
          <w:w w:val="105"/>
          <w:lang w:val="es-ES"/>
        </w:rPr>
        <w:t>;</w:t>
      </w:r>
    </w:p>
    <w:p w14:paraId="229436A1" w14:textId="2A2542E3" w:rsidR="009C2AD2" w:rsidRPr="00144994" w:rsidRDefault="006F2CE9" w:rsidP="006A09EE">
      <w:pPr>
        <w:pStyle w:val="ListParagraph"/>
        <w:numPr>
          <w:ilvl w:val="0"/>
          <w:numId w:val="5"/>
        </w:numPr>
        <w:tabs>
          <w:tab w:val="left" w:pos="1145"/>
        </w:tabs>
        <w:spacing w:before="200" w:after="200" w:line="285" w:lineRule="auto"/>
        <w:ind w:left="714" w:hanging="357"/>
        <w:rPr>
          <w:rFonts w:ascii="Acumin Pro" w:hAnsi="Acumin Pro"/>
        </w:rPr>
      </w:pPr>
      <w:r>
        <w:rPr>
          <w:rFonts w:ascii="Acumin Pro" w:hAnsi="Acumin Pro"/>
          <w:b/>
          <w:color w:val="231F20"/>
          <w:w w:val="105"/>
          <w:lang w:val="es-ES"/>
        </w:rPr>
        <w:t>que se les impongan</w:t>
      </w:r>
      <w:r w:rsidR="00C55FAC">
        <w:rPr>
          <w:rFonts w:ascii="Acumin Pro" w:hAnsi="Acumin Pro"/>
          <w:b/>
          <w:color w:val="231F20"/>
          <w:w w:val="105"/>
        </w:rPr>
        <w:t xml:space="preserve"> restricciones de viaje o</w:t>
      </w:r>
      <w:r w:rsidR="00C55FAC">
        <w:rPr>
          <w:rFonts w:ascii="Acumin Pro" w:hAnsi="Acumin Pro"/>
          <w:b/>
          <w:color w:val="231F20"/>
          <w:spacing w:val="-3"/>
          <w:w w:val="105"/>
        </w:rPr>
        <w:t xml:space="preserve"> visado</w:t>
      </w:r>
      <w:r w:rsidR="00C55FAC">
        <w:rPr>
          <w:rFonts w:ascii="Acumin Pro" w:hAnsi="Acumin Pro"/>
          <w:color w:val="231F20"/>
          <w:spacing w:val="-1"/>
          <w:w w:val="105"/>
        </w:rPr>
        <w:t xml:space="preserve">, </w:t>
      </w:r>
      <w:r>
        <w:rPr>
          <w:rFonts w:ascii="Acumin Pro" w:hAnsi="Acumin Pro"/>
          <w:color w:val="231F20"/>
          <w:spacing w:val="-1"/>
          <w:w w:val="105"/>
          <w:lang w:val="es-ES"/>
        </w:rPr>
        <w:t>por ejemplo,</w:t>
      </w:r>
      <w:r>
        <w:rPr>
          <w:rFonts w:ascii="Acumin Pro" w:hAnsi="Acumin Pro"/>
          <w:color w:val="231F20"/>
          <w:spacing w:val="-1"/>
          <w:w w:val="105"/>
        </w:rPr>
        <w:t xml:space="preserve"> </w:t>
      </w:r>
      <w:r w:rsidR="00C55FAC">
        <w:rPr>
          <w:rFonts w:ascii="Acumin Pro" w:hAnsi="Acumin Pro"/>
          <w:color w:val="231F20"/>
          <w:spacing w:val="-1"/>
          <w:w w:val="105"/>
        </w:rPr>
        <w:t>limitaciones a la circulación dentro del país</w:t>
      </w:r>
      <w:r>
        <w:rPr>
          <w:rFonts w:ascii="Acumin Pro" w:hAnsi="Acumin Pro"/>
          <w:color w:val="231F20"/>
          <w:spacing w:val="-1"/>
          <w:w w:val="105"/>
          <w:lang w:val="es-ES"/>
        </w:rPr>
        <w:t>;</w:t>
      </w:r>
    </w:p>
    <w:p w14:paraId="2E56D874" w14:textId="7283DA8D" w:rsidR="004270DA" w:rsidRPr="004270DA" w:rsidRDefault="00C55FAC" w:rsidP="004270DA">
      <w:pPr>
        <w:pStyle w:val="ListParagraph"/>
        <w:numPr>
          <w:ilvl w:val="0"/>
          <w:numId w:val="5"/>
        </w:numPr>
        <w:tabs>
          <w:tab w:val="left" w:pos="1145"/>
        </w:tabs>
        <w:spacing w:before="200" w:after="200" w:line="285" w:lineRule="auto"/>
        <w:ind w:left="714" w:hanging="357"/>
        <w:rPr>
          <w:rFonts w:ascii="Acumin Pro" w:hAnsi="Acumin Pro"/>
        </w:rPr>
      </w:pPr>
      <w:r>
        <w:rPr>
          <w:rFonts w:ascii="Acumin Pro" w:hAnsi="Acumin Pro"/>
          <w:b/>
          <w:color w:val="231F20"/>
          <w:spacing w:val="-4"/>
          <w:w w:val="105"/>
        </w:rPr>
        <w:t xml:space="preserve">que se inspeccionen </w:t>
      </w:r>
      <w:r w:rsidR="00100859">
        <w:rPr>
          <w:rFonts w:ascii="Acumin Pro" w:hAnsi="Acumin Pro"/>
          <w:b/>
          <w:color w:val="231F20"/>
          <w:spacing w:val="-4"/>
          <w:w w:val="105"/>
          <w:lang w:val="es-ES"/>
        </w:rPr>
        <w:t xml:space="preserve">sus </w:t>
      </w:r>
      <w:r>
        <w:rPr>
          <w:rFonts w:ascii="Acumin Pro" w:hAnsi="Acumin Pro"/>
          <w:b/>
          <w:color w:val="231F20"/>
          <w:spacing w:val="-4"/>
          <w:w w:val="105"/>
        </w:rPr>
        <w:t>dispositivos electrónicos</w:t>
      </w:r>
      <w:r>
        <w:rPr>
          <w:rFonts w:ascii="Acumin Pro" w:hAnsi="Acumin Pro"/>
          <w:color w:val="231F20"/>
          <w:spacing w:val="-4"/>
          <w:w w:val="105"/>
        </w:rPr>
        <w:t xml:space="preserve">, incluidos </w:t>
      </w:r>
      <w:r w:rsidR="00100859">
        <w:rPr>
          <w:rFonts w:ascii="Acumin Pro" w:hAnsi="Acumin Pro"/>
          <w:color w:val="231F20"/>
          <w:spacing w:val="-4"/>
          <w:w w:val="105"/>
          <w:lang w:val="es-ES"/>
        </w:rPr>
        <w:t xml:space="preserve">los </w:t>
      </w:r>
      <w:r>
        <w:rPr>
          <w:rFonts w:ascii="Acumin Pro" w:hAnsi="Acumin Pro"/>
          <w:color w:val="231F20"/>
          <w:spacing w:val="-4"/>
          <w:w w:val="105"/>
        </w:rPr>
        <w:t xml:space="preserve">teléfonos, </w:t>
      </w:r>
      <w:r w:rsidR="00100859">
        <w:rPr>
          <w:rFonts w:ascii="Acumin Pro" w:hAnsi="Acumin Pro"/>
          <w:color w:val="231F20"/>
          <w:spacing w:val="-4"/>
          <w:w w:val="105"/>
          <w:lang w:val="es-ES"/>
        </w:rPr>
        <w:t xml:space="preserve">las </w:t>
      </w:r>
      <w:r>
        <w:rPr>
          <w:rFonts w:ascii="Acumin Pro" w:hAnsi="Acumin Pro"/>
          <w:color w:val="231F20"/>
          <w:spacing w:val="-4"/>
          <w:w w:val="105"/>
        </w:rPr>
        <w:t>computadoras portátiles u otros dispositivos, lo que podría implicar el acceso a información o comunicaciones</w:t>
      </w:r>
      <w:r w:rsidR="00100859">
        <w:rPr>
          <w:rFonts w:ascii="Acumin Pro" w:hAnsi="Acumin Pro"/>
          <w:color w:val="231F20"/>
          <w:spacing w:val="-4"/>
          <w:w w:val="105"/>
          <w:lang w:val="es-ES"/>
        </w:rPr>
        <w:t xml:space="preserve"> personales;</w:t>
      </w:r>
    </w:p>
    <w:p w14:paraId="5052F636" w14:textId="40C99894" w:rsidR="004270DA" w:rsidRPr="00C36D35" w:rsidRDefault="00100859" w:rsidP="00C36D35">
      <w:pPr>
        <w:pStyle w:val="ListParagraph"/>
        <w:numPr>
          <w:ilvl w:val="0"/>
          <w:numId w:val="5"/>
        </w:numPr>
        <w:tabs>
          <w:tab w:val="left" w:pos="1145"/>
        </w:tabs>
        <w:spacing w:before="200" w:after="200" w:line="285" w:lineRule="auto"/>
        <w:ind w:left="714" w:hanging="357"/>
        <w:rPr>
          <w:rFonts w:ascii="Acumin Pro" w:hAnsi="Acumin Pro"/>
          <w:color w:val="231F20"/>
          <w:w w:val="110"/>
        </w:rPr>
      </w:pPr>
      <w:r>
        <w:rPr>
          <w:rFonts w:ascii="Acumin Pro" w:hAnsi="Acumin Pro"/>
          <w:b/>
          <w:color w:val="231F20"/>
          <w:lang w:val="es-ES"/>
        </w:rPr>
        <w:lastRenderedPageBreak/>
        <w:t>que sean</w:t>
      </w:r>
      <w:r>
        <w:rPr>
          <w:rFonts w:ascii="Acumin Pro" w:hAnsi="Acumin Pro"/>
          <w:b/>
          <w:color w:val="231F20"/>
        </w:rPr>
        <w:t xml:space="preserve"> </w:t>
      </w:r>
      <w:r w:rsidR="00C55FAC">
        <w:rPr>
          <w:rFonts w:ascii="Acumin Pro" w:hAnsi="Acumin Pro"/>
          <w:b/>
          <w:color w:val="231F20"/>
        </w:rPr>
        <w:t>objeto de vigilancia dirigida, detención o encarcelamiento tras la llegada</w:t>
      </w:r>
      <w:r w:rsidR="00C55FAC" w:rsidRPr="004270DA">
        <w:rPr>
          <w:rFonts w:ascii="Acumin Pro" w:hAnsi="Acumin Pro"/>
          <w:color w:val="231F20"/>
        </w:rPr>
        <w:t>,</w:t>
      </w:r>
      <w:r w:rsidR="00C55FAC">
        <w:rPr>
          <w:rFonts w:ascii="Acumin Pro" w:hAnsi="Acumin Pro"/>
          <w:color w:val="231F20"/>
        </w:rPr>
        <w:t xml:space="preserve"> lo que puede incluir acciones legales</w:t>
      </w:r>
      <w:r w:rsidR="00C55FAC">
        <w:rPr>
          <w:rFonts w:ascii="Acumin Pro" w:hAnsi="Acumin Pro"/>
          <w:color w:val="231F20"/>
          <w:spacing w:val="-3"/>
          <w:w w:val="110"/>
        </w:rPr>
        <w:t xml:space="preserve"> formales</w:t>
      </w:r>
      <w:r>
        <w:rPr>
          <w:rFonts w:ascii="Acumin Pro" w:hAnsi="Acumin Pro"/>
          <w:color w:val="231F20"/>
          <w:spacing w:val="-3"/>
          <w:w w:val="110"/>
          <w:lang w:val="es-ES"/>
        </w:rPr>
        <w:t>;</w:t>
      </w:r>
    </w:p>
    <w:p w14:paraId="229436A4" w14:textId="6A7D60D5" w:rsidR="009C2AD2" w:rsidRPr="00144994" w:rsidRDefault="00100859" w:rsidP="008601FE">
      <w:pPr>
        <w:pStyle w:val="ListParagraph"/>
        <w:numPr>
          <w:ilvl w:val="0"/>
          <w:numId w:val="5"/>
        </w:numPr>
        <w:tabs>
          <w:tab w:val="left" w:pos="1145"/>
        </w:tabs>
        <w:spacing w:before="200" w:after="200"/>
        <w:ind w:left="714" w:hanging="357"/>
        <w:rPr>
          <w:rFonts w:ascii="Acumin Pro" w:hAnsi="Acumin Pro"/>
        </w:rPr>
      </w:pPr>
      <w:r>
        <w:rPr>
          <w:rFonts w:ascii="Acumin Pro" w:hAnsi="Acumin Pro"/>
          <w:b/>
          <w:color w:val="231F20"/>
          <w:spacing w:val="2"/>
          <w:lang w:val="es-ES"/>
        </w:rPr>
        <w:t>que sean objeto de</w:t>
      </w:r>
      <w:r>
        <w:rPr>
          <w:rFonts w:ascii="Acumin Pro" w:hAnsi="Acumin Pro"/>
          <w:b/>
          <w:color w:val="231F20"/>
          <w:spacing w:val="2"/>
        </w:rPr>
        <w:t xml:space="preserve"> </w:t>
      </w:r>
      <w:r w:rsidR="00C55FAC">
        <w:rPr>
          <w:rFonts w:ascii="Acumin Pro" w:hAnsi="Acumin Pro"/>
          <w:b/>
          <w:color w:val="231F20"/>
          <w:spacing w:val="2"/>
        </w:rPr>
        <w:t>intimidación, acoso</w:t>
      </w:r>
      <w:r w:rsidR="00C55FAC">
        <w:rPr>
          <w:rFonts w:ascii="Acumin Pro" w:hAnsi="Acumin Pro"/>
          <w:b/>
          <w:color w:val="231F20"/>
          <w:spacing w:val="4"/>
        </w:rPr>
        <w:t xml:space="preserve"> o amenazas</w:t>
      </w:r>
      <w:r w:rsidR="00C55FAC">
        <w:rPr>
          <w:rFonts w:ascii="Acumin Pro" w:hAnsi="Acumin Pro"/>
          <w:color w:val="231F20"/>
          <w:spacing w:val="2"/>
        </w:rPr>
        <w:t xml:space="preserve"> por parte de </w:t>
      </w:r>
      <w:r>
        <w:rPr>
          <w:rFonts w:ascii="Acumin Pro" w:hAnsi="Acumin Pro"/>
          <w:color w:val="231F20"/>
          <w:spacing w:val="2"/>
          <w:lang w:val="es-ES"/>
        </w:rPr>
        <w:t xml:space="preserve">las </w:t>
      </w:r>
      <w:r w:rsidR="00C55FAC">
        <w:rPr>
          <w:rFonts w:ascii="Acumin Pro" w:hAnsi="Acumin Pro"/>
          <w:color w:val="231F20"/>
          <w:spacing w:val="2"/>
        </w:rPr>
        <w:t>autoridades</w:t>
      </w:r>
      <w:r w:rsidR="00C55FAC">
        <w:rPr>
          <w:rFonts w:ascii="Acumin Pro" w:hAnsi="Acumin Pro"/>
          <w:color w:val="231F20"/>
          <w:spacing w:val="-2"/>
        </w:rPr>
        <w:t xml:space="preserve"> locales</w:t>
      </w:r>
      <w:r>
        <w:rPr>
          <w:rFonts w:ascii="Acumin Pro" w:hAnsi="Acumin Pro"/>
          <w:color w:val="231F20"/>
          <w:spacing w:val="-2"/>
          <w:lang w:val="es-ES"/>
        </w:rPr>
        <w:t>;</w:t>
      </w:r>
    </w:p>
    <w:p w14:paraId="169D5769" w14:textId="0344546A" w:rsidR="000F1A92" w:rsidRPr="000F1A92" w:rsidRDefault="00100859" w:rsidP="008601FE">
      <w:pPr>
        <w:pStyle w:val="ListParagraph"/>
        <w:numPr>
          <w:ilvl w:val="0"/>
          <w:numId w:val="5"/>
        </w:numPr>
        <w:tabs>
          <w:tab w:val="left" w:pos="1145"/>
        </w:tabs>
        <w:spacing w:before="200" w:after="200" w:line="285" w:lineRule="auto"/>
        <w:ind w:left="714" w:hanging="357"/>
        <w:rPr>
          <w:rFonts w:ascii="Acumin Pro" w:hAnsi="Acumin Pro"/>
        </w:rPr>
      </w:pPr>
      <w:r>
        <w:rPr>
          <w:rFonts w:ascii="Acumin Pro" w:hAnsi="Acumin Pro"/>
          <w:b/>
          <w:color w:val="231F20"/>
          <w:lang w:val="es-ES"/>
        </w:rPr>
        <w:t>que sean</w:t>
      </w:r>
      <w:r>
        <w:rPr>
          <w:rFonts w:ascii="Acumin Pro" w:hAnsi="Acumin Pro"/>
          <w:b/>
          <w:color w:val="231F20"/>
        </w:rPr>
        <w:t xml:space="preserve"> </w:t>
      </w:r>
      <w:r w:rsidR="00C55FAC">
        <w:rPr>
          <w:rFonts w:ascii="Acumin Pro" w:hAnsi="Acumin Pro"/>
          <w:b/>
          <w:color w:val="231F20"/>
        </w:rPr>
        <w:t>objeto de interrogatorios, acoso o intimidación</w:t>
      </w:r>
      <w:r w:rsidR="00C55FAC">
        <w:rPr>
          <w:rFonts w:ascii="Acumin Pro" w:hAnsi="Acumin Pro"/>
          <w:b/>
          <w:color w:val="231F20"/>
          <w:spacing w:val="4"/>
        </w:rPr>
        <w:t xml:space="preserve"> por parte de grupos</w:t>
      </w:r>
      <w:r w:rsidR="00C55FAC">
        <w:rPr>
          <w:rFonts w:ascii="Acumin Pro" w:hAnsi="Acumin Pro"/>
          <w:b/>
          <w:color w:val="231F20"/>
        </w:rPr>
        <w:t xml:space="preserve"> locales</w:t>
      </w:r>
      <w:r w:rsidR="00C55FAC" w:rsidRPr="00144994">
        <w:rPr>
          <w:rFonts w:ascii="Acumin Pro" w:hAnsi="Acumin Pro"/>
          <w:color w:val="231F20"/>
        </w:rPr>
        <w:t>,</w:t>
      </w:r>
      <w:r w:rsidR="00C55FAC">
        <w:rPr>
          <w:rFonts w:ascii="Acumin Pro" w:hAnsi="Acumin Pro"/>
          <w:color w:val="231F20"/>
        </w:rPr>
        <w:t xml:space="preserve"> no </w:t>
      </w:r>
      <w:r>
        <w:rPr>
          <w:rFonts w:ascii="Acumin Pro" w:hAnsi="Acumin Pro"/>
          <w:color w:val="231F20"/>
          <w:lang w:val="es-ES"/>
        </w:rPr>
        <w:t>solo</w:t>
      </w:r>
      <w:r>
        <w:rPr>
          <w:rFonts w:ascii="Acumin Pro" w:hAnsi="Acumin Pro"/>
          <w:color w:val="231F20"/>
        </w:rPr>
        <w:t xml:space="preserve"> </w:t>
      </w:r>
      <w:r w:rsidR="00C55FAC">
        <w:rPr>
          <w:rFonts w:ascii="Acumin Pro" w:hAnsi="Acumin Pro"/>
          <w:color w:val="231F20"/>
        </w:rPr>
        <w:t>por parte de</w:t>
      </w:r>
      <w:r w:rsidR="00C55FAC">
        <w:rPr>
          <w:rFonts w:ascii="Acumin Pro" w:hAnsi="Acumin Pro"/>
          <w:color w:val="231F20"/>
          <w:spacing w:val="-5"/>
          <w:w w:val="108"/>
        </w:rPr>
        <w:t xml:space="preserve"> </w:t>
      </w:r>
      <w:r>
        <w:rPr>
          <w:rFonts w:ascii="Acumin Pro" w:hAnsi="Acumin Pro"/>
          <w:color w:val="231F20"/>
          <w:spacing w:val="-5"/>
          <w:w w:val="108"/>
          <w:lang w:val="es-ES"/>
        </w:rPr>
        <w:t xml:space="preserve">las </w:t>
      </w:r>
      <w:r w:rsidR="00C55FAC">
        <w:rPr>
          <w:rFonts w:ascii="Acumin Pro" w:hAnsi="Acumin Pro"/>
          <w:color w:val="231F20"/>
          <w:spacing w:val="-5"/>
          <w:w w:val="108"/>
        </w:rPr>
        <w:t xml:space="preserve">fuerzas del orden o </w:t>
      </w:r>
      <w:r>
        <w:rPr>
          <w:rFonts w:ascii="Acumin Pro" w:hAnsi="Acumin Pro"/>
          <w:color w:val="231F20"/>
          <w:spacing w:val="-5"/>
          <w:w w:val="108"/>
          <w:lang w:val="es-ES"/>
        </w:rPr>
        <w:t xml:space="preserve">las </w:t>
      </w:r>
      <w:r w:rsidR="00C55FAC">
        <w:rPr>
          <w:rFonts w:ascii="Acumin Pro" w:hAnsi="Acumin Pro"/>
          <w:color w:val="231F20"/>
          <w:spacing w:val="-5"/>
          <w:w w:val="108"/>
        </w:rPr>
        <w:t>autoridades.</w:t>
      </w:r>
    </w:p>
    <w:p w14:paraId="2D2F1A0F" w14:textId="77777777" w:rsidR="000F1A92" w:rsidRPr="00AE43B7" w:rsidRDefault="000F1A92" w:rsidP="00E956A8">
      <w:pPr>
        <w:pStyle w:val="Heading2"/>
        <w:spacing w:before="360"/>
        <w:ind w:left="0"/>
        <w:rPr>
          <w:rFonts w:ascii="Acumin Pro" w:hAnsi="Acumin Pro"/>
        </w:rPr>
      </w:pPr>
      <w:r>
        <w:rPr>
          <w:rFonts w:ascii="Acumin Pro" w:hAnsi="Acumin Pro"/>
          <w:color w:val="391335"/>
        </w:rPr>
        <w:t>Asistencia consular de Nueva Zelanda</w:t>
      </w:r>
    </w:p>
    <w:p w14:paraId="03076CCC" w14:textId="5F574180" w:rsidR="000F1A92" w:rsidRPr="00144994" w:rsidRDefault="000F1A92" w:rsidP="000364AB">
      <w:pPr>
        <w:pStyle w:val="BodyText"/>
        <w:spacing w:before="200" w:after="200" w:line="249" w:lineRule="auto"/>
        <w:rPr>
          <w:rFonts w:ascii="Acumin Pro" w:hAnsi="Acumin Pro"/>
        </w:rPr>
      </w:pPr>
      <w:r>
        <w:rPr>
          <w:rFonts w:ascii="Acumin Pro" w:hAnsi="Acumin Pro"/>
          <w:color w:val="231F20"/>
          <w:spacing w:val="-3"/>
          <w:w w:val="104"/>
        </w:rPr>
        <w:t xml:space="preserve">El Ministerio de </w:t>
      </w:r>
      <w:r w:rsidR="0070434F">
        <w:rPr>
          <w:rFonts w:ascii="Acumin Pro" w:hAnsi="Acumin Pro"/>
          <w:color w:val="231F20"/>
          <w:spacing w:val="-3"/>
          <w:w w:val="104"/>
          <w:lang w:val="es-ES"/>
        </w:rPr>
        <w:t xml:space="preserve">Comercio y </w:t>
      </w:r>
      <w:r>
        <w:rPr>
          <w:rFonts w:ascii="Acumin Pro" w:hAnsi="Acumin Pro"/>
          <w:color w:val="231F20"/>
          <w:spacing w:val="-3"/>
          <w:w w:val="104"/>
        </w:rPr>
        <w:t>Relaciones Exteriores (MFAT) proporciona servicios consulares a ciudadanos de Nueva Zelanda que se encuentran fuera del país, incluso si normalmente no viven en Nueva Zelanda.</w:t>
      </w:r>
    </w:p>
    <w:p w14:paraId="54DA327A" w14:textId="77777777" w:rsidR="000F1A92" w:rsidRPr="00144994" w:rsidRDefault="000F1A92" w:rsidP="000364AB">
      <w:pPr>
        <w:pStyle w:val="BodyText"/>
        <w:spacing w:before="200" w:after="200"/>
        <w:rPr>
          <w:rFonts w:ascii="Acumin Pro" w:hAnsi="Acumin Pro"/>
        </w:rPr>
      </w:pPr>
      <w:r>
        <w:rPr>
          <w:rFonts w:ascii="Acumin Pro" w:hAnsi="Acumin Pro"/>
          <w:color w:val="231F20"/>
          <w:spacing w:val="3"/>
        </w:rPr>
        <w:t>La asistencia consular generalmente no se proporciona a residentes permanentes de Nueva Zelanda.</w:t>
      </w:r>
    </w:p>
    <w:p w14:paraId="1A83DD3B" w14:textId="34BC5703" w:rsidR="000F1A92" w:rsidRPr="00144994" w:rsidRDefault="000F1A92" w:rsidP="000364AB">
      <w:pPr>
        <w:pStyle w:val="BodyText"/>
        <w:spacing w:before="200" w:after="200" w:line="249" w:lineRule="auto"/>
        <w:rPr>
          <w:rFonts w:ascii="Acumin Pro" w:hAnsi="Acumin Pro"/>
        </w:rPr>
      </w:pPr>
      <w:r>
        <w:rPr>
          <w:rFonts w:ascii="Acumin Pro" w:hAnsi="Acumin Pro"/>
          <w:color w:val="231F20"/>
          <w:spacing w:val="-3"/>
          <w:w w:val="104"/>
        </w:rPr>
        <w:t>Los ciudadanos de Nueva Zelanda que se encuentran en el extranjero están sujetos a las leyes locales del otro país, incluidas las leyes de ese país que regulan la detención, el procesamiento penal o las restricciones de viaje.</w:t>
      </w:r>
    </w:p>
    <w:p w14:paraId="34B471DC" w14:textId="77777777" w:rsidR="000F1A92" w:rsidRPr="00144994" w:rsidRDefault="000F1A92" w:rsidP="00E956A8">
      <w:pPr>
        <w:pStyle w:val="BodyText"/>
        <w:spacing w:before="360"/>
        <w:rPr>
          <w:rFonts w:ascii="Acumin Pro" w:hAnsi="Acumin Pro"/>
          <w:b/>
          <w:bCs/>
        </w:rPr>
      </w:pPr>
      <w:r>
        <w:rPr>
          <w:rFonts w:ascii="Acumin Pro" w:hAnsi="Acumin Pro"/>
          <w:b/>
          <w:color w:val="231F20"/>
          <w:spacing w:val="-2"/>
          <w:w w:val="107"/>
        </w:rPr>
        <w:t>Personas con doble ciudadanía</w:t>
      </w:r>
    </w:p>
    <w:p w14:paraId="25F65E43" w14:textId="3178A27E" w:rsidR="002D6D45" w:rsidRDefault="000F1A92" w:rsidP="000364AB">
      <w:pPr>
        <w:pStyle w:val="BodyText"/>
        <w:spacing w:before="200" w:after="200" w:line="249" w:lineRule="auto"/>
        <w:rPr>
          <w:rFonts w:ascii="Acumin Pro" w:hAnsi="Acumin Pro"/>
          <w:color w:val="231F20"/>
          <w:w w:val="105"/>
        </w:rPr>
      </w:pPr>
      <w:r>
        <w:rPr>
          <w:rFonts w:ascii="Acumin Pro" w:hAnsi="Acumin Pro"/>
          <w:color w:val="231F20"/>
          <w:spacing w:val="-5"/>
          <w:w w:val="104"/>
        </w:rPr>
        <w:t xml:space="preserve">Tener doble ciudadanía puede afectar la capacidad de Nueva Zelanda para proporcionar asistencia consular. Cuando una persona se encuentra en el país de su otra ciudadanía, las autoridades locales pueden tratarla únicamente como ciudadana de ese país y no permitir </w:t>
      </w:r>
      <w:r w:rsidR="00EE35B4">
        <w:rPr>
          <w:rFonts w:ascii="Acumin Pro" w:hAnsi="Acumin Pro"/>
          <w:color w:val="231F20"/>
          <w:spacing w:val="-5"/>
          <w:w w:val="104"/>
          <w:lang w:val="es-ES"/>
        </w:rPr>
        <w:t>que</w:t>
      </w:r>
      <w:r>
        <w:rPr>
          <w:rFonts w:ascii="Acumin Pro" w:hAnsi="Acumin Pro"/>
          <w:color w:val="231F20"/>
          <w:spacing w:val="-5"/>
          <w:w w:val="104"/>
        </w:rPr>
        <w:t xml:space="preserve"> Nueva Zelanda</w:t>
      </w:r>
      <w:r w:rsidR="00EE35B4">
        <w:rPr>
          <w:rFonts w:ascii="Acumin Pro" w:hAnsi="Acumin Pro"/>
          <w:color w:val="231F20"/>
          <w:spacing w:val="-5"/>
          <w:w w:val="104"/>
          <w:lang w:val="es-ES"/>
        </w:rPr>
        <w:t xml:space="preserve"> intervenga</w:t>
      </w:r>
      <w:r>
        <w:rPr>
          <w:rFonts w:ascii="Acumin Pro" w:hAnsi="Acumin Pro"/>
          <w:color w:val="231F20"/>
          <w:spacing w:val="-5"/>
          <w:w w:val="104"/>
        </w:rPr>
        <w:t>.</w:t>
      </w:r>
    </w:p>
    <w:p w14:paraId="2CFAB287" w14:textId="6C1586AB" w:rsidR="000F1A92" w:rsidRPr="002542E8" w:rsidRDefault="000F1A92" w:rsidP="000364AB">
      <w:pPr>
        <w:pStyle w:val="BodyText"/>
        <w:spacing w:before="200" w:after="200" w:line="249" w:lineRule="auto"/>
        <w:rPr>
          <w:rFonts w:ascii="Acumin Pro" w:hAnsi="Acumin Pro"/>
          <w:lang w:val="es-ES"/>
        </w:rPr>
      </w:pPr>
      <w:r>
        <w:rPr>
          <w:rFonts w:ascii="Acumin Pro" w:hAnsi="Acumin Pro"/>
          <w:color w:val="231F20"/>
        </w:rPr>
        <w:t>Puede encontrar más información en</w:t>
      </w:r>
      <w:r w:rsidR="00EE35B4">
        <w:rPr>
          <w:rFonts w:ascii="Acumin Pro" w:hAnsi="Acumin Pro"/>
          <w:color w:val="231F20"/>
          <w:lang w:val="es-ES"/>
        </w:rPr>
        <w:t xml:space="preserve"> el sitio de</w:t>
      </w:r>
      <w:r>
        <w:rPr>
          <w:rFonts w:ascii="Acumin Pro" w:hAnsi="Acumin Pro"/>
          <w:color w:val="231F20"/>
        </w:rPr>
        <w:t xml:space="preserve"> SafeTravel: </w:t>
      </w:r>
      <w:hyperlink r:id="rId7" w:history="1">
        <w:r>
          <w:rPr>
            <w:rStyle w:val="Hyperlink"/>
            <w:rFonts w:ascii="Acumin Pro" w:hAnsi="Acumin Pro"/>
          </w:rPr>
          <w:t>Doble ciudadanía y residentes permanentes</w:t>
        </w:r>
      </w:hyperlink>
      <w:r w:rsidR="00827279">
        <w:rPr>
          <w:lang w:val="es-ES"/>
        </w:rPr>
        <w:t>.</w:t>
      </w:r>
    </w:p>
    <w:p w14:paraId="0F0C8816" w14:textId="77777777" w:rsidR="000F1A92" w:rsidRPr="00144994" w:rsidRDefault="000F1A92" w:rsidP="00E956A8">
      <w:pPr>
        <w:pStyle w:val="BodyText"/>
        <w:spacing w:before="360"/>
        <w:rPr>
          <w:rFonts w:ascii="Acumin Pro" w:hAnsi="Acumin Pro"/>
          <w:b/>
          <w:bCs/>
        </w:rPr>
      </w:pPr>
      <w:r>
        <w:rPr>
          <w:rFonts w:ascii="Acumin Pro" w:hAnsi="Acumin Pro"/>
          <w:b/>
        </w:rPr>
        <w:t>Refugiados y antiguos refugiados</w:t>
      </w:r>
    </w:p>
    <w:p w14:paraId="6ECD5ED9" w14:textId="483E9A3E" w:rsidR="000F1A92" w:rsidRPr="00144994" w:rsidRDefault="000F1A92" w:rsidP="000364AB">
      <w:pPr>
        <w:pStyle w:val="BodyText"/>
        <w:spacing w:before="200" w:after="200" w:line="249" w:lineRule="auto"/>
        <w:rPr>
          <w:rFonts w:ascii="Acumin Pro" w:hAnsi="Acumin Pro"/>
          <w:color w:val="231F20"/>
        </w:rPr>
      </w:pPr>
      <w:r>
        <w:rPr>
          <w:rFonts w:ascii="Acumin Pro" w:hAnsi="Acumin Pro"/>
          <w:color w:val="231F20"/>
        </w:rPr>
        <w:t xml:space="preserve">Si usted es una persona refugiada </w:t>
      </w:r>
      <w:r w:rsidR="00191E1A">
        <w:rPr>
          <w:rFonts w:ascii="Acumin Pro" w:hAnsi="Acumin Pro"/>
          <w:color w:val="231F20"/>
          <w:lang w:val="es-ES"/>
        </w:rPr>
        <w:t xml:space="preserve">y se encuentra </w:t>
      </w:r>
      <w:r>
        <w:rPr>
          <w:rFonts w:ascii="Acumin Pro" w:hAnsi="Acumin Pro"/>
          <w:color w:val="231F20"/>
        </w:rPr>
        <w:t>fuera de Nueva Zelanda, existen limitaciones importantes al apoyo que el Gobierno de Nueva Zelanda puede brindar.</w:t>
      </w:r>
    </w:p>
    <w:p w14:paraId="65A8D97F" w14:textId="10DC33A7" w:rsidR="000F1A92" w:rsidRPr="002542E8" w:rsidRDefault="000F1A92" w:rsidP="000364AB">
      <w:pPr>
        <w:pStyle w:val="BodyText"/>
        <w:spacing w:before="200" w:after="200" w:line="249" w:lineRule="auto"/>
        <w:rPr>
          <w:rFonts w:ascii="Acumin Pro" w:hAnsi="Acumin Pro"/>
          <w:lang w:val="es-ES"/>
        </w:rPr>
      </w:pPr>
      <w:r>
        <w:rPr>
          <w:rFonts w:ascii="Acumin Pro" w:hAnsi="Acumin Pro"/>
          <w:color w:val="231F20"/>
        </w:rPr>
        <w:t xml:space="preserve">Puede encontrar más información en SafeTravel: </w:t>
      </w:r>
      <w:hyperlink r:id="rId8" w:history="1">
        <w:r>
          <w:rPr>
            <w:rStyle w:val="Hyperlink"/>
            <w:rFonts w:ascii="Acumin Pro" w:hAnsi="Acumin Pro"/>
            <w:spacing w:val="-2"/>
          </w:rPr>
          <w:t>Refugiados y antiguos refugiados</w:t>
        </w:r>
      </w:hyperlink>
      <w:r w:rsidR="00191E1A">
        <w:rPr>
          <w:lang w:val="es-ES"/>
        </w:rPr>
        <w:t>.</w:t>
      </w:r>
    </w:p>
    <w:p w14:paraId="19ACBA46" w14:textId="77777777" w:rsidR="000F1A92" w:rsidRPr="00AE43B7" w:rsidRDefault="000F1A92" w:rsidP="000364AB">
      <w:pPr>
        <w:pStyle w:val="Heading2"/>
        <w:pBdr>
          <w:top w:val="single" w:sz="4" w:space="10" w:color="FFE094"/>
          <w:left w:val="single" w:sz="4" w:space="10" w:color="FFE094"/>
          <w:bottom w:val="single" w:sz="4" w:space="10" w:color="FFE094"/>
          <w:right w:val="single" w:sz="4" w:space="10" w:color="FFE094"/>
        </w:pBdr>
        <w:shd w:val="clear" w:color="auto" w:fill="FFE094"/>
        <w:spacing w:before="360"/>
        <w:ind w:left="0"/>
        <w:rPr>
          <w:rFonts w:ascii="Acumin Pro" w:hAnsi="Acumin Pro"/>
        </w:rPr>
      </w:pPr>
      <w:r>
        <w:rPr>
          <w:rFonts w:ascii="Acumin Pro" w:hAnsi="Acumin Pro"/>
          <w:color w:val="391335"/>
          <w:spacing w:val="-4"/>
        </w:rPr>
        <w:t>SafeTravel NZ</w:t>
      </w:r>
    </w:p>
    <w:p w14:paraId="1272E0CE" w14:textId="27B2000F" w:rsidR="000F1A92" w:rsidRPr="00144994" w:rsidRDefault="000F1A92" w:rsidP="000364AB">
      <w:pPr>
        <w:pStyle w:val="BodyText"/>
        <w:pBdr>
          <w:top w:val="single" w:sz="4" w:space="10" w:color="FFE094"/>
          <w:left w:val="single" w:sz="4" w:space="10" w:color="FFE094"/>
          <w:bottom w:val="single" w:sz="4" w:space="10" w:color="FFE094"/>
          <w:right w:val="single" w:sz="4" w:space="10" w:color="FFE094"/>
        </w:pBdr>
        <w:shd w:val="clear" w:color="auto" w:fill="FFE094"/>
        <w:spacing w:before="200" w:after="200" w:line="249" w:lineRule="auto"/>
        <w:rPr>
          <w:rFonts w:ascii="Acumin Pro" w:hAnsi="Acumin Pro"/>
        </w:rPr>
      </w:pPr>
      <w:hyperlink r:id="rId9" w:history="1">
        <w:r>
          <w:rPr>
            <w:rStyle w:val="Hyperlink"/>
            <w:rFonts w:ascii="Acumin Pro" w:hAnsi="Acumin Pro"/>
          </w:rPr>
          <w:t>SafeTravel NZ</w:t>
        </w:r>
      </w:hyperlink>
      <w:r>
        <w:rPr>
          <w:rFonts w:ascii="Acumin Pro" w:hAnsi="Acumin Pro"/>
          <w:color w:val="231F20"/>
          <w:spacing w:val="-4"/>
          <w:w w:val="103"/>
        </w:rPr>
        <w:t xml:space="preserve"> es el sitio web oficial del MFAT para ciudadanos de Nueva Zelanda que viajan o viven en el extranjero, y ofrece recomendaciones de viaje, servicios consulares, consejos de seguridad y un sistema de registro para viajeros.</w:t>
      </w:r>
    </w:p>
    <w:p w14:paraId="745E1D48" w14:textId="191629D7" w:rsidR="00A22050" w:rsidRPr="00A22050" w:rsidRDefault="00651741" w:rsidP="000364AB">
      <w:pPr>
        <w:pStyle w:val="BodyText"/>
        <w:pBdr>
          <w:top w:val="single" w:sz="4" w:space="10" w:color="FFE094"/>
          <w:left w:val="single" w:sz="4" w:space="10" w:color="FFE094"/>
          <w:bottom w:val="single" w:sz="4" w:space="10" w:color="FFE094"/>
          <w:right w:val="single" w:sz="4" w:space="10" w:color="FFE094"/>
        </w:pBdr>
        <w:shd w:val="clear" w:color="auto" w:fill="FFE094"/>
        <w:spacing w:before="200" w:after="200" w:line="249" w:lineRule="auto"/>
      </w:pPr>
      <w:r>
        <w:rPr>
          <w:rFonts w:ascii="Acumin Pro" w:hAnsi="Acumin Pro"/>
          <w:color w:val="231F20"/>
          <w:spacing w:val="-4"/>
          <w:w w:val="105"/>
        </w:rPr>
        <w:t xml:space="preserve">Se recomienda que los viajeros </w:t>
      </w:r>
      <w:r w:rsidR="000F1A92" w:rsidRPr="00144994">
        <w:rPr>
          <w:rFonts w:ascii="Acumin Pro" w:hAnsi="Acumin Pro"/>
          <w:b/>
          <w:bCs/>
          <w:color w:val="231F20"/>
          <w:spacing w:val="-2"/>
          <w:w w:val="105"/>
        </w:rPr>
        <w:t>se registren en</w:t>
      </w:r>
      <w:r w:rsidR="008B3FFF">
        <w:rPr>
          <w:rFonts w:ascii="Acumin Pro" w:hAnsi="Acumin Pro"/>
          <w:b/>
          <w:bCs/>
          <w:color w:val="231F20"/>
          <w:spacing w:val="-2"/>
          <w:w w:val="105"/>
        </w:rPr>
        <w:t xml:space="preserve"> </w:t>
      </w:r>
      <w:hyperlink r:id="rId10" w:history="1">
        <w:r>
          <w:rPr>
            <w:rStyle w:val="Hyperlink"/>
            <w:rFonts w:ascii="Acumin Pro" w:hAnsi="Acumin Pro"/>
            <w:spacing w:val="-5"/>
            <w:w w:val="105"/>
          </w:rPr>
          <w:t>SafeTravel N</w:t>
        </w:r>
        <w:r w:rsidR="00461A88">
          <w:rPr>
            <w:rStyle w:val="Hyperlink"/>
            <w:rFonts w:ascii="Acumin Pro" w:hAnsi="Acumin Pro"/>
            <w:spacing w:val="-5"/>
            <w:w w:val="105"/>
            <w:lang w:val="es-ES"/>
          </w:rPr>
          <w:t xml:space="preserve">ew </w:t>
        </w:r>
        <w:r>
          <w:rPr>
            <w:rStyle w:val="Hyperlink"/>
            <w:rFonts w:ascii="Acumin Pro" w:hAnsi="Acumin Pro"/>
            <w:spacing w:val="-5"/>
            <w:w w:val="105"/>
          </w:rPr>
          <w:t>Ze</w:t>
        </w:r>
        <w:r w:rsidR="00461A88">
          <w:rPr>
            <w:rStyle w:val="Hyperlink"/>
            <w:rFonts w:ascii="Acumin Pro" w:hAnsi="Acumin Pro"/>
            <w:spacing w:val="-5"/>
            <w:w w:val="105"/>
            <w:lang w:val="es-ES"/>
          </w:rPr>
          <w:t>a</w:t>
        </w:r>
        <w:r>
          <w:rPr>
            <w:rStyle w:val="Hyperlink"/>
            <w:rFonts w:ascii="Acumin Pro" w:hAnsi="Acumin Pro"/>
            <w:spacing w:val="-5"/>
            <w:w w:val="105"/>
          </w:rPr>
          <w:t>land</w:t>
        </w:r>
      </w:hyperlink>
      <w:r>
        <w:rPr>
          <w:rFonts w:ascii="Acumin Pro" w:hAnsi="Acumin Pro"/>
          <w:color w:val="231F20"/>
          <w:spacing w:val="-5"/>
          <w:w w:val="105"/>
        </w:rPr>
        <w:t xml:space="preserve"> antes de viajar al </w:t>
      </w:r>
      <w:r>
        <w:rPr>
          <w:rFonts w:ascii="Acumin Pro" w:hAnsi="Acumin Pro"/>
          <w:color w:val="231F20"/>
          <w:spacing w:val="-5"/>
          <w:w w:val="105"/>
        </w:rPr>
        <w:lastRenderedPageBreak/>
        <w:t>extranjero. Esto ayuda al MFAT a proporcionar información actualizada, ponerse en contacto con los viajeros si es necesario y ofrecer asistencia siempre que sea posible.</w:t>
      </w:r>
    </w:p>
    <w:sectPr w:rsidR="00A22050" w:rsidRPr="00A22050" w:rsidSect="00203BB3">
      <w:headerReference w:type="default" r:id="rId11"/>
      <w:footerReference w:type="default" r:id="rId12"/>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1A9BF" w14:textId="77777777" w:rsidR="00FC1338" w:rsidRDefault="00FC1338">
      <w:r>
        <w:separator/>
      </w:r>
    </w:p>
  </w:endnote>
  <w:endnote w:type="continuationSeparator" w:id="0">
    <w:p w14:paraId="0A05F1CC" w14:textId="77777777" w:rsidR="00FC1338" w:rsidRDefault="00FC13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cumin Pro">
    <w:altName w:val="Calibri"/>
    <w:panose1 w:val="020B0504020202020204"/>
    <w:charset w:val="00"/>
    <w:family w:val="swiss"/>
    <w:notTrueType/>
    <w:pitch w:val="variable"/>
    <w:sig w:usb0="20000007" w:usb1="00000001"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30A0B" w14:textId="2156A807" w:rsidR="008F361B" w:rsidRPr="00216311" w:rsidRDefault="00EA4802" w:rsidP="008F361B">
    <w:pPr>
      <w:spacing w:before="22"/>
      <w:rPr>
        <w:rFonts w:ascii="Acumin Pro" w:hAnsi="Acumin Pro"/>
        <w:b/>
        <w:sz w:val="20"/>
        <w:szCs w:val="20"/>
      </w:rPr>
    </w:pPr>
    <w:r>
      <w:rPr>
        <w:rFonts w:ascii="Acumin Pro" w:hAnsi="Acumin Pro"/>
        <w:b/>
        <w:color w:val="391335"/>
        <w:sz w:val="20"/>
      </w:rPr>
      <w:t xml:space="preserve"> Viajes al </w:t>
    </w:r>
    <w:proofErr w:type="spellStart"/>
    <w:r>
      <w:rPr>
        <w:rFonts w:ascii="Acumin Pro" w:hAnsi="Acumin Pro"/>
        <w:b/>
        <w:color w:val="391335"/>
        <w:sz w:val="20"/>
      </w:rPr>
      <w:t>extranjero</w:t>
    </w:r>
    <w:proofErr w:type="spellEnd"/>
    <w:r>
      <w:rPr>
        <w:rFonts w:ascii="Acumin Pro" w:hAnsi="Acumin Pro"/>
        <w:b/>
        <w:color w:val="391335"/>
        <w:sz w:val="20"/>
      </w:rPr>
      <w:t xml:space="preserve"> e </w:t>
    </w:r>
    <w:proofErr w:type="spellStart"/>
    <w:r>
      <w:rPr>
        <w:rFonts w:ascii="Acumin Pro" w:hAnsi="Acumin Pro"/>
        <w:b/>
        <w:color w:val="391335"/>
        <w:sz w:val="20"/>
      </w:rPr>
      <w:t>injerencia</w:t>
    </w:r>
    <w:proofErr w:type="spellEnd"/>
    <w:r>
      <w:rPr>
        <w:rFonts w:ascii="Acumin Pro" w:hAnsi="Acumin Pro"/>
        <w:b/>
        <w:color w:val="391335"/>
        <w:sz w:val="20"/>
      </w:rPr>
      <w:t xml:space="preserve"> </w:t>
    </w:r>
    <w:proofErr w:type="spellStart"/>
    <w:r>
      <w:rPr>
        <w:rFonts w:ascii="Acumin Pro" w:hAnsi="Acumin Pro"/>
        <w:b/>
        <w:color w:val="391335"/>
        <w:sz w:val="20"/>
      </w:rPr>
      <w:t>extranjera</w:t>
    </w:r>
    <w:proofErr w:type="spellEnd"/>
    <w:r>
      <w:rPr>
        <w:rFonts w:ascii="Acumin Pro" w:hAnsi="Acumin Pro"/>
        <w:b/>
        <w:color w:val="391335"/>
        <w:sz w:val="20"/>
      </w:rPr>
      <w:t xml:space="preserve"> </w:t>
    </w:r>
    <w:r w:rsidR="008F361B">
      <w:rPr>
        <w:rFonts w:ascii="Acumin Pro" w:hAnsi="Acumin Pro"/>
        <w:b/>
        <w:color w:val="391335"/>
        <w:sz w:val="20"/>
        <w:szCs w:val="20"/>
      </w:rPr>
      <w:tab/>
    </w:r>
    <w:r w:rsidR="008F361B">
      <w:rPr>
        <w:rFonts w:ascii="Acumin Pro" w:hAnsi="Acumin Pro"/>
        <w:b/>
        <w:color w:val="391335"/>
        <w:sz w:val="20"/>
        <w:szCs w:val="20"/>
      </w:rPr>
      <w:tab/>
    </w:r>
    <w:r w:rsidR="008F361B">
      <w:rPr>
        <w:rFonts w:ascii="Acumin Pro" w:hAnsi="Acumin Pro"/>
        <w:b/>
        <w:color w:val="391335"/>
        <w:sz w:val="20"/>
        <w:szCs w:val="20"/>
      </w:rPr>
      <w:tab/>
    </w:r>
    <w:r w:rsidR="008F361B">
      <w:rPr>
        <w:rFonts w:ascii="Acumin Pro" w:hAnsi="Acumin Pro"/>
        <w:b/>
        <w:color w:val="391335"/>
        <w:sz w:val="20"/>
        <w:szCs w:val="20"/>
      </w:rPr>
      <w:tab/>
    </w:r>
    <w:r w:rsidR="008F361B">
      <w:rPr>
        <w:rFonts w:ascii="Acumin Pro" w:hAnsi="Acumin Pro"/>
        <w:b/>
        <w:color w:val="391335"/>
        <w:sz w:val="20"/>
        <w:szCs w:val="20"/>
      </w:rPr>
      <w:tab/>
    </w:r>
    <w:r w:rsidR="008F361B">
      <w:rPr>
        <w:rFonts w:ascii="Acumin Pro" w:hAnsi="Acumin Pro"/>
        <w:b/>
        <w:color w:val="391335"/>
        <w:sz w:val="20"/>
        <w:szCs w:val="20"/>
      </w:rPr>
      <w:tab/>
    </w:r>
    <w:r w:rsidR="008F361B" w:rsidRPr="00216311">
      <w:rPr>
        <w:rFonts w:ascii="Acumin Pro" w:hAnsi="Acumin Pro"/>
        <w:b/>
        <w:color w:val="391335"/>
        <w:spacing w:val="-2"/>
        <w:sz w:val="20"/>
        <w:szCs w:val="20"/>
      </w:rPr>
      <w:tab/>
    </w:r>
    <w:sdt>
      <w:sdtPr>
        <w:rPr>
          <w:rFonts w:ascii="Acumin Pro" w:hAnsi="Acumin Pro"/>
          <w:sz w:val="20"/>
          <w:szCs w:val="20"/>
        </w:rPr>
        <w:id w:val="-1110124414"/>
        <w:docPartObj>
          <w:docPartGallery w:val="Page Numbers (Bottom of Page)"/>
          <w:docPartUnique/>
        </w:docPartObj>
      </w:sdtPr>
      <w:sdtContent>
        <w:r w:rsidR="008F361B" w:rsidRPr="00216311">
          <w:rPr>
            <w:rFonts w:ascii="Acumin Pro" w:hAnsi="Acumin Pro"/>
            <w:sz w:val="20"/>
            <w:szCs w:val="20"/>
          </w:rPr>
          <w:fldChar w:fldCharType="begin"/>
        </w:r>
        <w:r w:rsidR="008F361B" w:rsidRPr="00216311">
          <w:rPr>
            <w:rFonts w:ascii="Acumin Pro" w:hAnsi="Acumin Pro"/>
            <w:sz w:val="20"/>
            <w:szCs w:val="20"/>
          </w:rPr>
          <w:instrText xml:space="preserve"> PAGE   \* MERGEFORMAT </w:instrText>
        </w:r>
        <w:r w:rsidR="008F361B" w:rsidRPr="00216311">
          <w:rPr>
            <w:rFonts w:ascii="Acumin Pro" w:hAnsi="Acumin Pro"/>
            <w:sz w:val="20"/>
            <w:szCs w:val="20"/>
          </w:rPr>
          <w:fldChar w:fldCharType="separate"/>
        </w:r>
        <w:r>
          <w:rPr>
            <w:rFonts w:ascii="Acumin Pro" w:hAnsi="Acumin Pro"/>
            <w:sz w:val="20"/>
          </w:rPr>
          <w:t>3</w:t>
        </w:r>
        <w:r w:rsidR="008F361B" w:rsidRPr="00216311">
          <w:rPr>
            <w:rFonts w:ascii="Acumin Pro" w:hAnsi="Acumin Pro"/>
            <w:sz w:val="20"/>
            <w:szCs w:val="20"/>
          </w:rPr>
          <w:fldChar w:fldCharType="end"/>
        </w:r>
      </w:sdtContent>
    </w:sdt>
  </w:p>
  <w:p w14:paraId="59252AE6" w14:textId="77777777" w:rsidR="008F361B" w:rsidRPr="00B21C58" w:rsidRDefault="008F361B" w:rsidP="008F361B">
    <w:pPr>
      <w:pStyle w:val="BodyText"/>
      <w:spacing w:line="14" w:lineRule="auto"/>
      <w:rPr>
        <w:sz w:val="20"/>
      </w:rPr>
    </w:pPr>
  </w:p>
  <w:p w14:paraId="01EBB0C5" w14:textId="77777777" w:rsidR="008F361B" w:rsidRPr="00FE2C56" w:rsidRDefault="008F361B" w:rsidP="008F361B">
    <w:pPr>
      <w:pStyle w:val="BodyText"/>
      <w:spacing w:line="14" w:lineRule="auto"/>
      <w:rPr>
        <w:sz w:val="20"/>
      </w:rPr>
    </w:pPr>
  </w:p>
  <w:p w14:paraId="229436BC" w14:textId="49E928AB" w:rsidR="009C2AD2" w:rsidRDefault="009C2AD2">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408B3" w14:textId="77777777" w:rsidR="00FC1338" w:rsidRDefault="00FC1338">
      <w:r>
        <w:separator/>
      </w:r>
    </w:p>
  </w:footnote>
  <w:footnote w:type="continuationSeparator" w:id="0">
    <w:p w14:paraId="0C4431AA" w14:textId="77777777" w:rsidR="00FC1338" w:rsidRDefault="00FC13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4072B" w14:textId="77777777" w:rsidR="00203879" w:rsidRPr="004C4A78" w:rsidRDefault="00203879" w:rsidP="00203879">
    <w:pPr>
      <w:pStyle w:val="Header"/>
    </w:pPr>
    <w:r>
      <w:rPr>
        <w:noProof/>
      </w:rPr>
      <w:drawing>
        <wp:anchor distT="0" distB="0" distL="114300" distR="114300" simplePos="0" relativeHeight="251658240" behindDoc="0" locked="0" layoutInCell="1" allowOverlap="1" wp14:anchorId="0A730FDE" wp14:editId="7B347037">
          <wp:simplePos x="0" y="0"/>
          <wp:positionH relativeFrom="column">
            <wp:posOffset>-923925</wp:posOffset>
          </wp:positionH>
          <wp:positionV relativeFrom="paragraph">
            <wp:posOffset>-356870</wp:posOffset>
          </wp:positionV>
          <wp:extent cx="7589520" cy="1544782"/>
          <wp:effectExtent l="0" t="0" r="0" b="0"/>
          <wp:wrapNone/>
          <wp:docPr id="1083864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Pr>
        <w:noProof/>
      </w:rPr>
      <w:drawing>
        <wp:anchor distT="0" distB="0" distL="114300" distR="114300" simplePos="0" relativeHeight="251658241" behindDoc="0" locked="0" layoutInCell="1" allowOverlap="1" wp14:anchorId="25C1F381" wp14:editId="1CA769B7">
          <wp:simplePos x="0" y="0"/>
          <wp:positionH relativeFrom="column">
            <wp:posOffset>-227330</wp:posOffset>
          </wp:positionH>
          <wp:positionV relativeFrom="paragraph">
            <wp:posOffset>188595</wp:posOffset>
          </wp:positionV>
          <wp:extent cx="1687002" cy="996950"/>
          <wp:effectExtent l="0" t="0" r="0" b="0"/>
          <wp:wrapNone/>
          <wp:docPr id="17546217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EB3D21E" w14:textId="77777777" w:rsidR="00203879" w:rsidRDefault="00203879" w:rsidP="00203879">
    <w:pPr>
      <w:pStyle w:val="BodyText"/>
      <w:spacing w:line="14" w:lineRule="auto"/>
      <w:rPr>
        <w:sz w:val="20"/>
      </w:rPr>
    </w:pPr>
  </w:p>
  <w:p w14:paraId="73908609" w14:textId="77777777" w:rsidR="00203879" w:rsidRPr="006B40DA" w:rsidRDefault="00203879" w:rsidP="00203879">
    <w:pPr>
      <w:pStyle w:val="Header"/>
    </w:pPr>
  </w:p>
  <w:p w14:paraId="229436BB" w14:textId="791BE5B4" w:rsidR="009C2AD2" w:rsidRPr="00203879" w:rsidRDefault="009C2AD2" w:rsidP="002038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A7226"/>
    <w:multiLevelType w:val="hybridMultilevel"/>
    <w:tmpl w:val="E07EDD0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1E0E447D"/>
    <w:multiLevelType w:val="hybridMultilevel"/>
    <w:tmpl w:val="5CEE7CA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2AFD57EB"/>
    <w:multiLevelType w:val="hybridMultilevel"/>
    <w:tmpl w:val="531CB49C"/>
    <w:lvl w:ilvl="0" w:tplc="4B6615CE">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eastAsia="en-US" w:bidi="ar-SA"/>
      </w:rPr>
    </w:lvl>
    <w:lvl w:ilvl="1" w:tplc="D2467CCA">
      <w:numFmt w:val="bullet"/>
      <w:lvlText w:val="•"/>
      <w:lvlJc w:val="left"/>
      <w:pPr>
        <w:ind w:left="2018" w:hanging="360"/>
      </w:pPr>
      <w:rPr>
        <w:rFonts w:hint="default"/>
        <w:lang w:eastAsia="en-US" w:bidi="ar-SA"/>
      </w:rPr>
    </w:lvl>
    <w:lvl w:ilvl="2" w:tplc="EC5E537C">
      <w:numFmt w:val="bullet"/>
      <w:lvlText w:val="•"/>
      <w:lvlJc w:val="left"/>
      <w:pPr>
        <w:ind w:left="2896" w:hanging="360"/>
      </w:pPr>
      <w:rPr>
        <w:rFonts w:hint="default"/>
        <w:lang w:eastAsia="en-US" w:bidi="ar-SA"/>
      </w:rPr>
    </w:lvl>
    <w:lvl w:ilvl="3" w:tplc="2378FF3E">
      <w:numFmt w:val="bullet"/>
      <w:lvlText w:val="•"/>
      <w:lvlJc w:val="left"/>
      <w:pPr>
        <w:ind w:left="3774" w:hanging="360"/>
      </w:pPr>
      <w:rPr>
        <w:rFonts w:hint="default"/>
        <w:lang w:eastAsia="en-US" w:bidi="ar-SA"/>
      </w:rPr>
    </w:lvl>
    <w:lvl w:ilvl="4" w:tplc="B52A7B3C">
      <w:numFmt w:val="bullet"/>
      <w:lvlText w:val="•"/>
      <w:lvlJc w:val="left"/>
      <w:pPr>
        <w:ind w:left="4653" w:hanging="360"/>
      </w:pPr>
      <w:rPr>
        <w:rFonts w:hint="default"/>
        <w:lang w:eastAsia="en-US" w:bidi="ar-SA"/>
      </w:rPr>
    </w:lvl>
    <w:lvl w:ilvl="5" w:tplc="0A8E574A">
      <w:numFmt w:val="bullet"/>
      <w:lvlText w:val="•"/>
      <w:lvlJc w:val="left"/>
      <w:pPr>
        <w:ind w:left="5531" w:hanging="360"/>
      </w:pPr>
      <w:rPr>
        <w:rFonts w:hint="default"/>
        <w:lang w:eastAsia="en-US" w:bidi="ar-SA"/>
      </w:rPr>
    </w:lvl>
    <w:lvl w:ilvl="6" w:tplc="3B34AFD2">
      <w:numFmt w:val="bullet"/>
      <w:lvlText w:val="•"/>
      <w:lvlJc w:val="left"/>
      <w:pPr>
        <w:ind w:left="6409" w:hanging="360"/>
      </w:pPr>
      <w:rPr>
        <w:rFonts w:hint="default"/>
        <w:lang w:eastAsia="en-US" w:bidi="ar-SA"/>
      </w:rPr>
    </w:lvl>
    <w:lvl w:ilvl="7" w:tplc="B4721A5E">
      <w:numFmt w:val="bullet"/>
      <w:lvlText w:val="•"/>
      <w:lvlJc w:val="left"/>
      <w:pPr>
        <w:ind w:left="7287" w:hanging="360"/>
      </w:pPr>
      <w:rPr>
        <w:rFonts w:hint="default"/>
        <w:lang w:eastAsia="en-US" w:bidi="ar-SA"/>
      </w:rPr>
    </w:lvl>
    <w:lvl w:ilvl="8" w:tplc="FF8AE3C2">
      <w:numFmt w:val="bullet"/>
      <w:lvlText w:val="•"/>
      <w:lvlJc w:val="left"/>
      <w:pPr>
        <w:ind w:left="8166" w:hanging="360"/>
      </w:pPr>
      <w:rPr>
        <w:rFonts w:hint="default"/>
        <w:lang w:eastAsia="en-US" w:bidi="ar-SA"/>
      </w:rPr>
    </w:lvl>
  </w:abstractNum>
  <w:abstractNum w:abstractNumId="3" w15:restartNumberingAfterBreak="0">
    <w:nsid w:val="2ED8509F"/>
    <w:multiLevelType w:val="hybridMultilevel"/>
    <w:tmpl w:val="440E1BA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53AD6485"/>
    <w:multiLevelType w:val="hybridMultilevel"/>
    <w:tmpl w:val="34F4F78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2005665764">
    <w:abstractNumId w:val="2"/>
  </w:num>
  <w:num w:numId="2" w16cid:durableId="1488476550">
    <w:abstractNumId w:val="3"/>
  </w:num>
  <w:num w:numId="3" w16cid:durableId="1893736190">
    <w:abstractNumId w:val="1"/>
  </w:num>
  <w:num w:numId="4" w16cid:durableId="1193568708">
    <w:abstractNumId w:val="4"/>
  </w:num>
  <w:num w:numId="5" w16cid:durableId="20925801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AD2"/>
    <w:rsid w:val="00001F63"/>
    <w:rsid w:val="00010EEC"/>
    <w:rsid w:val="00034874"/>
    <w:rsid w:val="000364AB"/>
    <w:rsid w:val="0004060A"/>
    <w:rsid w:val="000478ED"/>
    <w:rsid w:val="00047B29"/>
    <w:rsid w:val="00050822"/>
    <w:rsid w:val="000630D6"/>
    <w:rsid w:val="00066891"/>
    <w:rsid w:val="0008019C"/>
    <w:rsid w:val="00081C60"/>
    <w:rsid w:val="000B2ABB"/>
    <w:rsid w:val="000B769F"/>
    <w:rsid w:val="000D27EC"/>
    <w:rsid w:val="000D2FEE"/>
    <w:rsid w:val="000D7DC8"/>
    <w:rsid w:val="000E7534"/>
    <w:rsid w:val="000F1A92"/>
    <w:rsid w:val="000F75AD"/>
    <w:rsid w:val="00100859"/>
    <w:rsid w:val="001039C9"/>
    <w:rsid w:val="001073A0"/>
    <w:rsid w:val="0011308E"/>
    <w:rsid w:val="00113B06"/>
    <w:rsid w:val="00130C4F"/>
    <w:rsid w:val="00132354"/>
    <w:rsid w:val="00144994"/>
    <w:rsid w:val="001502F2"/>
    <w:rsid w:val="001517E9"/>
    <w:rsid w:val="001547E0"/>
    <w:rsid w:val="0016622B"/>
    <w:rsid w:val="00170141"/>
    <w:rsid w:val="00182187"/>
    <w:rsid w:val="00191E1A"/>
    <w:rsid w:val="0019254C"/>
    <w:rsid w:val="00193978"/>
    <w:rsid w:val="001957D9"/>
    <w:rsid w:val="001973AA"/>
    <w:rsid w:val="001A0E92"/>
    <w:rsid w:val="001C48DE"/>
    <w:rsid w:val="001F7404"/>
    <w:rsid w:val="00203879"/>
    <w:rsid w:val="00203BB3"/>
    <w:rsid w:val="002118AB"/>
    <w:rsid w:val="00237378"/>
    <w:rsid w:val="00243315"/>
    <w:rsid w:val="002542E8"/>
    <w:rsid w:val="00262582"/>
    <w:rsid w:val="0026270D"/>
    <w:rsid w:val="00262DF9"/>
    <w:rsid w:val="002810EB"/>
    <w:rsid w:val="002C1F17"/>
    <w:rsid w:val="002D6102"/>
    <w:rsid w:val="002D6D45"/>
    <w:rsid w:val="002E3E01"/>
    <w:rsid w:val="002E7296"/>
    <w:rsid w:val="002F4C26"/>
    <w:rsid w:val="00300240"/>
    <w:rsid w:val="00301162"/>
    <w:rsid w:val="00301EDE"/>
    <w:rsid w:val="003024D8"/>
    <w:rsid w:val="003054D4"/>
    <w:rsid w:val="003105E6"/>
    <w:rsid w:val="00350DCC"/>
    <w:rsid w:val="003549A1"/>
    <w:rsid w:val="0037169A"/>
    <w:rsid w:val="00374F66"/>
    <w:rsid w:val="003763CA"/>
    <w:rsid w:val="003A689A"/>
    <w:rsid w:val="003B3FF4"/>
    <w:rsid w:val="003C1693"/>
    <w:rsid w:val="003C20A9"/>
    <w:rsid w:val="003D1DC0"/>
    <w:rsid w:val="003F6360"/>
    <w:rsid w:val="004236E8"/>
    <w:rsid w:val="004270DA"/>
    <w:rsid w:val="0045645A"/>
    <w:rsid w:val="00461A88"/>
    <w:rsid w:val="0046523A"/>
    <w:rsid w:val="00466BA9"/>
    <w:rsid w:val="00475CCC"/>
    <w:rsid w:val="004A0136"/>
    <w:rsid w:val="004A37E0"/>
    <w:rsid w:val="004A7A9B"/>
    <w:rsid w:val="004B3215"/>
    <w:rsid w:val="004D4E6F"/>
    <w:rsid w:val="004E4F55"/>
    <w:rsid w:val="004E5BFB"/>
    <w:rsid w:val="004F1949"/>
    <w:rsid w:val="004F4CF3"/>
    <w:rsid w:val="005000E9"/>
    <w:rsid w:val="00507EDE"/>
    <w:rsid w:val="0051521A"/>
    <w:rsid w:val="00533A0D"/>
    <w:rsid w:val="00534A20"/>
    <w:rsid w:val="0055276A"/>
    <w:rsid w:val="00584A41"/>
    <w:rsid w:val="00590FC5"/>
    <w:rsid w:val="005A7D8B"/>
    <w:rsid w:val="005B1C86"/>
    <w:rsid w:val="005B4CA2"/>
    <w:rsid w:val="005B51A5"/>
    <w:rsid w:val="005B5D5D"/>
    <w:rsid w:val="005B7E21"/>
    <w:rsid w:val="005C1BAD"/>
    <w:rsid w:val="005C38AF"/>
    <w:rsid w:val="005E1A19"/>
    <w:rsid w:val="00612825"/>
    <w:rsid w:val="006306BC"/>
    <w:rsid w:val="0063237B"/>
    <w:rsid w:val="00634E41"/>
    <w:rsid w:val="0064487C"/>
    <w:rsid w:val="00645ACF"/>
    <w:rsid w:val="00646B77"/>
    <w:rsid w:val="00651741"/>
    <w:rsid w:val="00654943"/>
    <w:rsid w:val="00654DF4"/>
    <w:rsid w:val="00660933"/>
    <w:rsid w:val="0066137F"/>
    <w:rsid w:val="006949D1"/>
    <w:rsid w:val="00694F39"/>
    <w:rsid w:val="00695786"/>
    <w:rsid w:val="006A09EE"/>
    <w:rsid w:val="006B0B2E"/>
    <w:rsid w:val="006B59AB"/>
    <w:rsid w:val="006C00A5"/>
    <w:rsid w:val="006C7EA9"/>
    <w:rsid w:val="006E745E"/>
    <w:rsid w:val="006F2CE9"/>
    <w:rsid w:val="0070434F"/>
    <w:rsid w:val="007122D0"/>
    <w:rsid w:val="0072740B"/>
    <w:rsid w:val="007302E7"/>
    <w:rsid w:val="00736A1B"/>
    <w:rsid w:val="00746350"/>
    <w:rsid w:val="0075548C"/>
    <w:rsid w:val="007616CF"/>
    <w:rsid w:val="007630D8"/>
    <w:rsid w:val="007654CB"/>
    <w:rsid w:val="007667C2"/>
    <w:rsid w:val="00771504"/>
    <w:rsid w:val="00771F6F"/>
    <w:rsid w:val="00772EF1"/>
    <w:rsid w:val="00773891"/>
    <w:rsid w:val="00787ECB"/>
    <w:rsid w:val="007C0F47"/>
    <w:rsid w:val="007C7FFD"/>
    <w:rsid w:val="0080100E"/>
    <w:rsid w:val="008013FE"/>
    <w:rsid w:val="00812D8C"/>
    <w:rsid w:val="00814361"/>
    <w:rsid w:val="0082642B"/>
    <w:rsid w:val="00827279"/>
    <w:rsid w:val="0083504D"/>
    <w:rsid w:val="00836104"/>
    <w:rsid w:val="00843CF4"/>
    <w:rsid w:val="008601FE"/>
    <w:rsid w:val="00887BA6"/>
    <w:rsid w:val="00887C79"/>
    <w:rsid w:val="008B3FFF"/>
    <w:rsid w:val="008C1442"/>
    <w:rsid w:val="008C2A16"/>
    <w:rsid w:val="008C77FB"/>
    <w:rsid w:val="008D468B"/>
    <w:rsid w:val="008D5688"/>
    <w:rsid w:val="008E3714"/>
    <w:rsid w:val="008F361B"/>
    <w:rsid w:val="00905CB0"/>
    <w:rsid w:val="009176E1"/>
    <w:rsid w:val="00936511"/>
    <w:rsid w:val="009372BD"/>
    <w:rsid w:val="009477B7"/>
    <w:rsid w:val="00950101"/>
    <w:rsid w:val="00961B83"/>
    <w:rsid w:val="00971511"/>
    <w:rsid w:val="00995E84"/>
    <w:rsid w:val="009976E3"/>
    <w:rsid w:val="009A67F6"/>
    <w:rsid w:val="009B55E4"/>
    <w:rsid w:val="009C2AD2"/>
    <w:rsid w:val="009E0875"/>
    <w:rsid w:val="009E575D"/>
    <w:rsid w:val="00A061CD"/>
    <w:rsid w:val="00A22050"/>
    <w:rsid w:val="00A224E1"/>
    <w:rsid w:val="00A270E8"/>
    <w:rsid w:val="00A479BA"/>
    <w:rsid w:val="00A525AD"/>
    <w:rsid w:val="00A576AD"/>
    <w:rsid w:val="00A83F93"/>
    <w:rsid w:val="00A877BF"/>
    <w:rsid w:val="00A87EB8"/>
    <w:rsid w:val="00A97153"/>
    <w:rsid w:val="00AA08F3"/>
    <w:rsid w:val="00AB2A5C"/>
    <w:rsid w:val="00AC1DA8"/>
    <w:rsid w:val="00AC239B"/>
    <w:rsid w:val="00AC54D5"/>
    <w:rsid w:val="00AC74E1"/>
    <w:rsid w:val="00AE43B7"/>
    <w:rsid w:val="00AE6812"/>
    <w:rsid w:val="00AE7A01"/>
    <w:rsid w:val="00B12A2F"/>
    <w:rsid w:val="00B13F9B"/>
    <w:rsid w:val="00B23568"/>
    <w:rsid w:val="00B30B22"/>
    <w:rsid w:val="00B53526"/>
    <w:rsid w:val="00B81A37"/>
    <w:rsid w:val="00B83161"/>
    <w:rsid w:val="00B935C4"/>
    <w:rsid w:val="00B95C2E"/>
    <w:rsid w:val="00B95D86"/>
    <w:rsid w:val="00B96690"/>
    <w:rsid w:val="00BB0D32"/>
    <w:rsid w:val="00BB5821"/>
    <w:rsid w:val="00BE258E"/>
    <w:rsid w:val="00C1119A"/>
    <w:rsid w:val="00C14765"/>
    <w:rsid w:val="00C30E6F"/>
    <w:rsid w:val="00C36D35"/>
    <w:rsid w:val="00C55FAC"/>
    <w:rsid w:val="00C61085"/>
    <w:rsid w:val="00C727E3"/>
    <w:rsid w:val="00C87895"/>
    <w:rsid w:val="00C9262E"/>
    <w:rsid w:val="00C96073"/>
    <w:rsid w:val="00C966DB"/>
    <w:rsid w:val="00CA3901"/>
    <w:rsid w:val="00CB0646"/>
    <w:rsid w:val="00CB1968"/>
    <w:rsid w:val="00CB22F7"/>
    <w:rsid w:val="00CB3198"/>
    <w:rsid w:val="00CF7A2C"/>
    <w:rsid w:val="00D01D48"/>
    <w:rsid w:val="00D0646C"/>
    <w:rsid w:val="00D27A26"/>
    <w:rsid w:val="00D607CB"/>
    <w:rsid w:val="00D8626E"/>
    <w:rsid w:val="00D92D80"/>
    <w:rsid w:val="00DA2D96"/>
    <w:rsid w:val="00DB523A"/>
    <w:rsid w:val="00DC4A0C"/>
    <w:rsid w:val="00DC5CEA"/>
    <w:rsid w:val="00DC7610"/>
    <w:rsid w:val="00DF1212"/>
    <w:rsid w:val="00E16713"/>
    <w:rsid w:val="00E337DE"/>
    <w:rsid w:val="00E4555C"/>
    <w:rsid w:val="00E45C92"/>
    <w:rsid w:val="00E64873"/>
    <w:rsid w:val="00E71845"/>
    <w:rsid w:val="00E82969"/>
    <w:rsid w:val="00E956A8"/>
    <w:rsid w:val="00EA0987"/>
    <w:rsid w:val="00EA4802"/>
    <w:rsid w:val="00ED51CC"/>
    <w:rsid w:val="00EE0CCE"/>
    <w:rsid w:val="00EE35B4"/>
    <w:rsid w:val="00EE526F"/>
    <w:rsid w:val="00EF57A8"/>
    <w:rsid w:val="00EF5A32"/>
    <w:rsid w:val="00F067B1"/>
    <w:rsid w:val="00F11AC5"/>
    <w:rsid w:val="00F177A4"/>
    <w:rsid w:val="00F225D0"/>
    <w:rsid w:val="00F27982"/>
    <w:rsid w:val="00F32C02"/>
    <w:rsid w:val="00F4150A"/>
    <w:rsid w:val="00F565EC"/>
    <w:rsid w:val="00F82B7D"/>
    <w:rsid w:val="00F96A2A"/>
    <w:rsid w:val="00F96F22"/>
    <w:rsid w:val="00F96FA4"/>
    <w:rsid w:val="00FB1AFE"/>
    <w:rsid w:val="00FB3407"/>
    <w:rsid w:val="00FB3BB0"/>
    <w:rsid w:val="00FB7026"/>
    <w:rsid w:val="00FC1338"/>
    <w:rsid w:val="00FC14F8"/>
    <w:rsid w:val="00FC1EA1"/>
    <w:rsid w:val="00FC71E4"/>
    <w:rsid w:val="00FD68A0"/>
    <w:rsid w:val="00FD7661"/>
    <w:rsid w:val="00FE6985"/>
    <w:rsid w:val="00FF1BA1"/>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943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12"/>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1"/>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F1949"/>
    <w:pPr>
      <w:tabs>
        <w:tab w:val="center" w:pos="4513"/>
        <w:tab w:val="right" w:pos="9026"/>
      </w:tabs>
    </w:pPr>
  </w:style>
  <w:style w:type="character" w:customStyle="1" w:styleId="HeaderChar">
    <w:name w:val="Header Char"/>
    <w:basedOn w:val="DefaultParagraphFont"/>
    <w:link w:val="Header"/>
    <w:uiPriority w:val="99"/>
    <w:rsid w:val="004F1949"/>
    <w:rPr>
      <w:rFonts w:ascii="Calibri" w:eastAsia="Calibri" w:hAnsi="Calibri" w:cs="Calibri"/>
    </w:rPr>
  </w:style>
  <w:style w:type="paragraph" w:styleId="Footer">
    <w:name w:val="footer"/>
    <w:basedOn w:val="Normal"/>
    <w:link w:val="FooterChar"/>
    <w:uiPriority w:val="99"/>
    <w:unhideWhenUsed/>
    <w:rsid w:val="004F1949"/>
    <w:pPr>
      <w:tabs>
        <w:tab w:val="center" w:pos="4513"/>
        <w:tab w:val="right" w:pos="9026"/>
      </w:tabs>
    </w:pPr>
  </w:style>
  <w:style w:type="character" w:customStyle="1" w:styleId="FooterChar">
    <w:name w:val="Footer Char"/>
    <w:basedOn w:val="DefaultParagraphFont"/>
    <w:link w:val="Footer"/>
    <w:uiPriority w:val="99"/>
    <w:rsid w:val="004F1949"/>
    <w:rPr>
      <w:rFonts w:ascii="Calibri" w:eastAsia="Calibri" w:hAnsi="Calibri" w:cs="Calibri"/>
    </w:rPr>
  </w:style>
  <w:style w:type="character" w:styleId="Hyperlink">
    <w:name w:val="Hyperlink"/>
    <w:basedOn w:val="DefaultParagraphFont"/>
    <w:uiPriority w:val="99"/>
    <w:unhideWhenUsed/>
    <w:rsid w:val="00475CCC"/>
    <w:rPr>
      <w:color w:val="0000FF" w:themeColor="hyperlink"/>
      <w:u w:val="single"/>
    </w:rPr>
  </w:style>
  <w:style w:type="character" w:styleId="UnresolvedMention">
    <w:name w:val="Unresolved Mention"/>
    <w:basedOn w:val="DefaultParagraphFont"/>
    <w:uiPriority w:val="99"/>
    <w:semiHidden/>
    <w:unhideWhenUsed/>
    <w:rsid w:val="00475CCC"/>
    <w:rPr>
      <w:color w:val="605E5C"/>
      <w:shd w:val="clear" w:color="auto" w:fill="E1DFDD"/>
    </w:rPr>
  </w:style>
  <w:style w:type="character" w:styleId="CommentReference">
    <w:name w:val="annotation reference"/>
    <w:basedOn w:val="DefaultParagraphFont"/>
    <w:uiPriority w:val="99"/>
    <w:semiHidden/>
    <w:unhideWhenUsed/>
    <w:rsid w:val="00AC239B"/>
    <w:rPr>
      <w:sz w:val="16"/>
      <w:szCs w:val="16"/>
    </w:rPr>
  </w:style>
  <w:style w:type="paragraph" w:styleId="CommentText">
    <w:name w:val="annotation text"/>
    <w:basedOn w:val="Normal"/>
    <w:link w:val="CommentTextChar"/>
    <w:uiPriority w:val="99"/>
    <w:unhideWhenUsed/>
    <w:rsid w:val="00AC239B"/>
    <w:rPr>
      <w:sz w:val="20"/>
      <w:szCs w:val="20"/>
    </w:rPr>
  </w:style>
  <w:style w:type="character" w:customStyle="1" w:styleId="CommentTextChar">
    <w:name w:val="Comment Text Char"/>
    <w:basedOn w:val="DefaultParagraphFont"/>
    <w:link w:val="CommentText"/>
    <w:uiPriority w:val="99"/>
    <w:rsid w:val="00AC239B"/>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AC239B"/>
    <w:rPr>
      <w:b/>
      <w:bCs/>
    </w:rPr>
  </w:style>
  <w:style w:type="character" w:customStyle="1" w:styleId="CommentSubjectChar">
    <w:name w:val="Comment Subject Char"/>
    <w:basedOn w:val="CommentTextChar"/>
    <w:link w:val="CommentSubject"/>
    <w:uiPriority w:val="99"/>
    <w:semiHidden/>
    <w:rsid w:val="00AC239B"/>
    <w:rPr>
      <w:rFonts w:ascii="Calibri" w:eastAsia="Calibri" w:hAnsi="Calibri" w:cs="Calibri"/>
      <w:b/>
      <w:bCs/>
      <w:sz w:val="20"/>
      <w:szCs w:val="20"/>
    </w:rPr>
  </w:style>
  <w:style w:type="paragraph" w:styleId="Revision">
    <w:name w:val="Revision"/>
    <w:hidden/>
    <w:uiPriority w:val="99"/>
    <w:semiHidden/>
    <w:rsid w:val="003549A1"/>
    <w:pPr>
      <w:widowControl/>
      <w:autoSpaceDE/>
      <w:autoSpaceDN/>
    </w:pPr>
    <w:rPr>
      <w:rFonts w:ascii="Calibri" w:eastAsia="Calibri" w:hAnsi="Calibri" w:cs="Calibri"/>
    </w:rPr>
  </w:style>
  <w:style w:type="character" w:styleId="FollowedHyperlink">
    <w:name w:val="FollowedHyperlink"/>
    <w:basedOn w:val="DefaultParagraphFont"/>
    <w:uiPriority w:val="99"/>
    <w:semiHidden/>
    <w:unhideWhenUsed/>
    <w:rsid w:val="005B7E2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safetravel.govt.nz/before-you-go/who-is-travelling/refugees-and-former-refugees" TargetMode="Externa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yperlink" Target="https://www.safetravel.govt.nz/before-you-go/who-is-travelling/dual-citizens-and-permanent-residents" TargetMode="External"/><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hyperlink" Target="https://www.safetravel.govt.nz/" TargetMode="External"/><Relationship Id="rId4" Type="http://schemas.openxmlformats.org/officeDocument/2006/relationships/webSettings" Target="webSettings.xml"/><Relationship Id="rId9" Type="http://schemas.openxmlformats.org/officeDocument/2006/relationships/hyperlink" Target="https://www.safetravel.govt.nz/"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CRFIWEBSITE-145050222-555</_dlc_DocId>
    <_dlc_DocIdUrl xmlns="c78cdbf8-4243-4362-8765-2acd0e03065b">
      <Url>https://azurediagovt.sharepoint.com/sites/EXT-CommunityResiliencetoForeignInterferencewebsite_MEC/_layouts/15/DocIdRedir.aspx?ID=CRFIWEBSITE-145050222-555</Url>
      <Description>CRFIWEBSITE-145050222-555</Description>
    </_dlc_DocIdUr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documentManagement>
</p:properties>
</file>

<file path=customXml/itemProps1.xml><?xml version="1.0" encoding="utf-8"?>
<ds:datastoreItem xmlns:ds="http://schemas.openxmlformats.org/officeDocument/2006/customXml" ds:itemID="{9DB9C820-86F4-4872-B934-048643D1FD77}"/>
</file>

<file path=customXml/itemProps2.xml><?xml version="1.0" encoding="utf-8"?>
<ds:datastoreItem xmlns:ds="http://schemas.openxmlformats.org/officeDocument/2006/customXml" ds:itemID="{992F6405-18DD-480D-9135-37FD9CE744FC}"/>
</file>

<file path=customXml/itemProps3.xml><?xml version="1.0" encoding="utf-8"?>
<ds:datastoreItem xmlns:ds="http://schemas.openxmlformats.org/officeDocument/2006/customXml" ds:itemID="{759D789E-C1B8-4C5D-ADF3-7491B1E1C44F}"/>
</file>

<file path=customXml/itemProps4.xml><?xml version="1.0" encoding="utf-8"?>
<ds:datastoreItem xmlns:ds="http://schemas.openxmlformats.org/officeDocument/2006/customXml" ds:itemID="{52FD1B0A-41E5-48F2-9C90-AC4DEC18B3FC}"/>
</file>

<file path=docProps/app.xml><?xml version="1.0" encoding="utf-8"?>
<Properties xmlns="http://schemas.openxmlformats.org/officeDocument/2006/extended-properties" xmlns:vt="http://schemas.openxmlformats.org/officeDocument/2006/docPropsVTypes">
  <Template>Normal</Template>
  <TotalTime>0</TotalTime>
  <Pages>3</Pages>
  <Words>667</Words>
  <Characters>3806</Characters>
  <Application>Microsoft Office Word</Application>
  <DocSecurity>2</DocSecurity>
  <Lines>31</Lines>
  <Paragraphs>8</Paragraphs>
  <ScaleCrop>false</ScaleCrop>
  <Company/>
  <LinksUpToDate>false</LinksUpToDate>
  <CharactersWithSpaces>4465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2026-08-25T02:22:00Z</dcterms:created>
  <dcterms:modified xsi:type="dcterms:W3CDTF">2026-08-25T02:22:00Z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837100</vt:r8>
  </property>
  <property fmtid="{D5CDD505-2E9C-101B-9397-08002B2CF9AE}" pid="3" name="xd_ProgID">
    <vt:lpwstr/>
  </property>
  <property fmtid="{D5CDD505-2E9C-101B-9397-08002B2CF9AE}" pid="4" name="MediaServiceImageTags">
    <vt:lpwstr/>
  </property>
  <property fmtid="{D5CDD505-2E9C-101B-9397-08002B2CF9AE}" pid="5" name="ContentTypeId">
    <vt:lpwstr>0x010100F317D2B78A617F468F1FDC070D126EC9</vt:lpwstr>
  </property>
  <property fmtid="{D5CDD505-2E9C-101B-9397-08002B2CF9AE}" pid="6" name="SecurityClassification">
    <vt:lpwstr>3;#UNCLASSIFIED|2c10f15e-4fe4-4bec-ae91-1116436da94b</vt:lpwstr>
  </property>
  <property fmtid="{D5CDD505-2E9C-101B-9397-08002B2CF9AE}" pid="7" name="ComplianceAssetId">
    <vt:lpwstr/>
  </property>
  <property fmtid="{D5CDD505-2E9C-101B-9397-08002B2CF9AE}" pid="8" name="TemplateUrl">
    <vt:lpwstr/>
  </property>
  <property fmtid="{D5CDD505-2E9C-101B-9397-08002B2CF9AE}" pid="9" name="c4e02c960b5544139e8046d663add723">
    <vt:lpwstr>Correspondence|dcd6b05f-dc80-4336-b228-09aebf3d212c</vt:lpwstr>
  </property>
  <property fmtid="{D5CDD505-2E9C-101B-9397-08002B2CF9AE}" pid="10" name="_ExtendedDescription">
    <vt:lpwstr/>
  </property>
  <property fmtid="{D5CDD505-2E9C-101B-9397-08002B2CF9AE}" pid="11" name="xd_Signature">
    <vt:bool>false</vt:bool>
  </property>
  <property fmtid="{D5CDD505-2E9C-101B-9397-08002B2CF9AE}" pid="12" name="l8c0f39d15824d909a6f5acef1bcb5e3">
    <vt:lpwstr>UNCLASSIFIED|2c10f15e-4fe4-4bec-ae91-1116436da94b</vt:lpwstr>
  </property>
  <property fmtid="{D5CDD505-2E9C-101B-9397-08002B2CF9AE}" pid="13" name="_dlc_DocIdItemGuid">
    <vt:lpwstr>cc84e160-1e79-4d96-9a87-0369bedb5bd6</vt:lpwstr>
  </property>
  <property fmtid="{D5CDD505-2E9C-101B-9397-08002B2CF9AE}" pid="14" name="DIASecurityClassification">
    <vt:i4>2</vt:i4>
  </property>
  <property fmtid="{D5CDD505-2E9C-101B-9397-08002B2CF9AE}" pid="15" name="TriggerFlowInfo">
    <vt:lpwstr/>
  </property>
</Properties>
</file>