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AE43B7" w:rsidRDefault="00C55FAC" w:rsidP="00FD68A0">
      <w:pPr>
        <w:pStyle w:val="Heading1"/>
        <w:ind w:left="0"/>
        <w:rPr>
          <w:rFonts w:ascii="Acumin Pro" w:hAnsi="Acumin Pro"/>
        </w:rPr>
      </w:pPr>
      <w:r>
        <w:rPr>
          <w:rFonts w:ascii="Acumin Pro" w:hAnsi="Acumin Pro"/>
          <w:color w:val="391335"/>
          <w:spacing w:val="-4"/>
        </w:rPr>
        <w:t>Mengembara ke luar negara dan campur tangan asing</w:t>
      </w:r>
    </w:p>
    <w:p w14:paraId="2294368F" w14:textId="77777777"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5"/>
          <w:w w:val="105"/>
        </w:rPr>
        <w:t>Apabila mengembara ke luar negara, sesetengah individu mungkin menghadapi campur tangan asing melalui pemeriksaan tambahan oleh pihak berkuasa asing, termasuk agensi keselamatan dan perisikan mereka.</w:t>
      </w:r>
    </w:p>
    <w:p w14:paraId="22943691" w14:textId="6268C4A1"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4"/>
          <w:w w:val="103"/>
        </w:rPr>
        <w:t>Adalah penting untuk diingat bahawa kebanyakan pengembara mungkin tidak mengalami perkara ini, dan pemeriksaan di sempadan adalah perkara biasa di seluruh dunia, biasanya bersifat rutin dan tidak berkaitan dengan campur tangan asing.</w:t>
      </w:r>
    </w:p>
    <w:p w14:paraId="22943693" w14:textId="73884628" w:rsidR="009C2AD2" w:rsidRPr="00AE7A01" w:rsidRDefault="00C55FAC" w:rsidP="00E956A8">
      <w:pPr>
        <w:pStyle w:val="BodyText"/>
        <w:spacing w:before="360"/>
        <w:rPr>
          <w:rFonts w:ascii="Acumin Pro" w:hAnsi="Acumin Pro"/>
          <w:b/>
          <w:bCs/>
        </w:rPr>
      </w:pPr>
      <w:r>
        <w:rPr>
          <w:rFonts w:ascii="Acumin Pro" w:hAnsi="Acumin Pro"/>
          <w:b/>
          <w:color w:val="231F20"/>
        </w:rPr>
        <w:t>Golongan yang mungkin dikenakan pemeriksaan tambahan berkaitan campur tangan asing termasuk:</w:t>
      </w:r>
    </w:p>
    <w:p w14:paraId="22943695"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2"/>
        </w:rPr>
        <w:t>individu yang telah menjadi sasaran di New Zealand</w:t>
      </w:r>
    </w:p>
    <w:p w14:paraId="22943696"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ahli komuniti yang diketahui mempunyai pandangan yang berbeza atau bersikap kritikal terhadap negara asing</w:t>
      </w:r>
    </w:p>
    <w:p w14:paraId="22943697" w14:textId="16391AAA"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4"/>
        </w:rPr>
        <w:t>pemimpin komuniti, pejuang masyarakat dan aktivis</w:t>
      </w:r>
    </w:p>
    <w:p w14:paraId="22943698"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ahli komuniti yang melakukan perjalanan atas urusan keluarga, komuniti, atau perniagaan</w:t>
      </w:r>
    </w:p>
    <w:p w14:paraId="22943699" w14:textId="77777777"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rPr>
        <w:t>ahli komuniti yang bekerja untuk Kerajaan New Zealand, majlis kerajaan tempatan atau yang merupakan pegawai yang dipilih di New Zealand</w:t>
      </w:r>
    </w:p>
    <w:p w14:paraId="2294369A" w14:textId="77777777"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spacing w:val="-1"/>
          <w:w w:val="102"/>
        </w:rPr>
        <w:t>ahli komuniti yang bekerja dalam sektor penting lain, contohnya infrastruktur kritikal, akademia, dan media</w:t>
      </w:r>
    </w:p>
    <w:p w14:paraId="2294369B"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5"/>
        </w:rPr>
        <w:t>bekas pelarian.</w:t>
      </w:r>
    </w:p>
    <w:p w14:paraId="2294369D" w14:textId="4DF85FFF" w:rsidR="009C2AD2" w:rsidRPr="00AE7A01" w:rsidRDefault="00C55FAC" w:rsidP="00E956A8">
      <w:pPr>
        <w:pStyle w:val="BodyText"/>
        <w:spacing w:before="360"/>
        <w:rPr>
          <w:rFonts w:ascii="Acumin Pro" w:hAnsi="Acumin Pro"/>
          <w:b/>
          <w:bCs/>
          <w:color w:val="231F20"/>
        </w:rPr>
      </w:pPr>
      <w:r>
        <w:rPr>
          <w:rFonts w:ascii="Acumin Pro" w:hAnsi="Acumin Pro"/>
          <w:b/>
          <w:color w:val="231F20"/>
        </w:rPr>
        <w:t>Risiko yang mungkin dihadapi bergantung pada negara, antaranya termasuk:</w:t>
      </w:r>
    </w:p>
    <w:p w14:paraId="2294369F"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rPr>
        <w:t xml:space="preserve">disoal siasat secara tidak perlu </w:t>
      </w:r>
      <w:r>
        <w:rPr>
          <w:rFonts w:ascii="Acumin Pro" w:hAnsi="Acumin Pro"/>
          <w:color w:val="231F20"/>
          <w:spacing w:val="-7"/>
          <w:w w:val="105"/>
        </w:rPr>
        <w:t>oleh pihak berkuasa tempatan, contohnya mengenai rancangan perjalanan, aktiviti, atau hubungan</w:t>
      </w:r>
    </w:p>
    <w:p w14:paraId="229436A0"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rPr>
        <w:t xml:space="preserve">ditolak masuk atau </w:t>
      </w:r>
      <w:r>
        <w:rPr>
          <w:rFonts w:ascii="Acumin Pro" w:hAnsi="Acumin Pro"/>
          <w:b/>
          <w:color w:val="231F20"/>
          <w:w w:val="105"/>
        </w:rPr>
        <w:t>keluar</w:t>
      </w:r>
      <w:r>
        <w:rPr>
          <w:rFonts w:ascii="Acumin Pro" w:hAnsi="Acumin Pro"/>
          <w:color w:val="231F20"/>
          <w:spacing w:val="-6"/>
          <w:w w:val="105"/>
        </w:rPr>
        <w:t>, seperti tidak dibenarkan menaiki penerbangan atau ditolak masuk di pusat pemeriksaan sempadan</w:t>
      </w:r>
    </w:p>
    <w:p w14:paraId="229436A1"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3"/>
          <w:w w:val="105"/>
        </w:rPr>
        <w:t>dikenakan sekatan perjalanan atau visa</w:t>
      </w:r>
      <w:r>
        <w:rPr>
          <w:rFonts w:ascii="Acumin Pro" w:hAnsi="Acumin Pro"/>
          <w:color w:val="231F20"/>
          <w:spacing w:val="-1"/>
          <w:w w:val="105"/>
        </w:rPr>
        <w:t>, termasuk had pergerakan di dalam negara</w:t>
      </w:r>
    </w:p>
    <w:p w14:paraId="2E56D874" w14:textId="77777777" w:rsidR="004270DA" w:rsidRPr="004270DA" w:rsidRDefault="00C55FAC" w:rsidP="004270DA">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4"/>
          <w:w w:val="105"/>
        </w:rPr>
        <w:t>peranti elektronik diperiksa</w:t>
      </w:r>
      <w:r>
        <w:rPr>
          <w:rFonts w:ascii="Acumin Pro" w:hAnsi="Acumin Pro"/>
          <w:color w:val="231F20"/>
          <w:spacing w:val="-4"/>
          <w:w w:val="105"/>
        </w:rPr>
        <w:t>, termasuk telefon, komputer atau peranti lain, yang mungkin melibatkan akses kepada maklumat peribadi atau komunikasi</w:t>
      </w:r>
    </w:p>
    <w:p w14:paraId="5052F636" w14:textId="62F1C2DF" w:rsidR="004270DA" w:rsidRPr="003A4157" w:rsidRDefault="00C55FAC" w:rsidP="003A4157">
      <w:pPr>
        <w:pStyle w:val="ListParagraph"/>
        <w:numPr>
          <w:ilvl w:val="0"/>
          <w:numId w:val="5"/>
        </w:numPr>
        <w:tabs>
          <w:tab w:val="left" w:pos="1145"/>
        </w:tabs>
        <w:spacing w:before="200" w:after="200" w:line="285" w:lineRule="auto"/>
        <w:ind w:left="714" w:hanging="357"/>
        <w:rPr>
          <w:rFonts w:ascii="Acumin Pro" w:hAnsi="Acumin Pro"/>
          <w:color w:val="231F20"/>
          <w:w w:val="110"/>
        </w:rPr>
      </w:pPr>
      <w:r>
        <w:rPr>
          <w:rFonts w:ascii="Acumin Pro" w:hAnsi="Acumin Pro"/>
          <w:b/>
          <w:color w:val="231F20"/>
        </w:rPr>
        <w:lastRenderedPageBreak/>
        <w:t>pengawasan bersasar, penahanan, atau pemenjaraan selepas ketibaan</w:t>
      </w:r>
      <w:r w:rsidRPr="004270DA">
        <w:rPr>
          <w:rFonts w:ascii="Acumin Pro" w:hAnsi="Acumin Pro"/>
          <w:color w:val="231F20"/>
        </w:rPr>
        <w:t>,</w:t>
      </w:r>
      <w:r>
        <w:rPr>
          <w:rFonts w:ascii="Acumin Pro" w:hAnsi="Acumin Pro"/>
          <w:b/>
          <w:color w:val="231F20"/>
        </w:rPr>
        <w:t xml:space="preserve"> </w:t>
      </w:r>
      <w:r>
        <w:rPr>
          <w:rFonts w:ascii="Acumin Pro" w:hAnsi="Acumin Pro"/>
          <w:color w:val="231F20"/>
        </w:rPr>
        <w:t>yang</w:t>
      </w:r>
      <w:r>
        <w:rPr>
          <w:rFonts w:ascii="Acumin Pro" w:hAnsi="Acumin Pro"/>
          <w:b/>
          <w:color w:val="231F20"/>
        </w:rPr>
        <w:t xml:space="preserve"> </w:t>
      </w:r>
      <w:r>
        <w:rPr>
          <w:rFonts w:ascii="Acumin Pro" w:hAnsi="Acumin Pro"/>
          <w:color w:val="231F20"/>
        </w:rPr>
        <w:t>mungkin</w:t>
      </w:r>
      <w:r>
        <w:rPr>
          <w:rFonts w:ascii="Acumin Pro" w:hAnsi="Acumin Pro"/>
          <w:b/>
          <w:color w:val="231F20"/>
        </w:rPr>
        <w:t xml:space="preserve"> </w:t>
      </w:r>
      <w:r>
        <w:rPr>
          <w:rFonts w:ascii="Acumin Pro" w:hAnsi="Acumin Pro"/>
          <w:color w:val="231F20"/>
        </w:rPr>
        <w:t>termasuk</w:t>
      </w:r>
      <w:r>
        <w:rPr>
          <w:rFonts w:ascii="Acumin Pro" w:hAnsi="Acumin Pro"/>
          <w:b/>
          <w:color w:val="231F20"/>
        </w:rPr>
        <w:t xml:space="preserve"> </w:t>
      </w:r>
      <w:r>
        <w:rPr>
          <w:rFonts w:ascii="Acumin Pro" w:hAnsi="Acumin Pro"/>
          <w:color w:val="231F20"/>
        </w:rPr>
        <w:t>tindakan</w:t>
      </w:r>
      <w:r w:rsidR="003A4157">
        <w:rPr>
          <w:rFonts w:ascii="Acumin Pro" w:hAnsi="Acumin Pro"/>
          <w:color w:val="231F20"/>
        </w:rPr>
        <w:t xml:space="preserve"> </w:t>
      </w:r>
      <w:r>
        <w:rPr>
          <w:rFonts w:ascii="Acumin Pro" w:hAnsi="Acumin Pro"/>
          <w:color w:val="231F20"/>
          <w:spacing w:val="-3"/>
          <w:w w:val="110"/>
        </w:rPr>
        <w:t>undang-undang rasmi</w:t>
      </w:r>
    </w:p>
    <w:p w14:paraId="229436A4" w14:textId="77777777" w:rsidR="009C2AD2" w:rsidRPr="00144994" w:rsidRDefault="00C55FAC" w:rsidP="008601FE">
      <w:pPr>
        <w:pStyle w:val="ListParagraph"/>
        <w:numPr>
          <w:ilvl w:val="0"/>
          <w:numId w:val="5"/>
        </w:numPr>
        <w:tabs>
          <w:tab w:val="left" w:pos="1145"/>
        </w:tabs>
        <w:spacing w:before="200" w:after="200"/>
        <w:ind w:left="714" w:hanging="357"/>
        <w:rPr>
          <w:rFonts w:ascii="Acumin Pro" w:hAnsi="Acumin Pro"/>
        </w:rPr>
      </w:pPr>
      <w:r>
        <w:rPr>
          <w:rFonts w:ascii="Acumin Pro" w:hAnsi="Acumin Pro"/>
          <w:b/>
          <w:color w:val="231F20"/>
          <w:spacing w:val="2"/>
        </w:rPr>
        <w:t xml:space="preserve">mengalami intimidasi, gangguan, </w:t>
      </w:r>
      <w:r>
        <w:rPr>
          <w:rFonts w:ascii="Acumin Pro" w:hAnsi="Acumin Pro"/>
          <w:b/>
          <w:color w:val="231F20"/>
          <w:spacing w:val="4"/>
        </w:rPr>
        <w:t>atau ancaman</w:t>
      </w:r>
      <w:r>
        <w:rPr>
          <w:rFonts w:ascii="Acumin Pro" w:hAnsi="Acumin Pro"/>
          <w:b/>
          <w:color w:val="231F20"/>
          <w:spacing w:val="2"/>
        </w:rPr>
        <w:t xml:space="preserve"> </w:t>
      </w:r>
      <w:r>
        <w:rPr>
          <w:rFonts w:ascii="Acumin Pro" w:hAnsi="Acumin Pro"/>
          <w:color w:val="231F20"/>
          <w:spacing w:val="2"/>
        </w:rPr>
        <w:t>daripada</w:t>
      </w:r>
      <w:r>
        <w:rPr>
          <w:rFonts w:ascii="Acumin Pro" w:hAnsi="Acumin Pro"/>
          <w:b/>
          <w:color w:val="231F20"/>
          <w:spacing w:val="2"/>
        </w:rPr>
        <w:t xml:space="preserve"> pihak </w:t>
      </w:r>
      <w:r>
        <w:rPr>
          <w:rFonts w:ascii="Acumin Pro" w:hAnsi="Acumin Pro"/>
          <w:color w:val="231F20"/>
          <w:spacing w:val="-2"/>
        </w:rPr>
        <w:t xml:space="preserve">berkuasa </w:t>
      </w:r>
      <w:r>
        <w:rPr>
          <w:rFonts w:ascii="Acumin Pro" w:hAnsi="Acumin Pro"/>
          <w:color w:val="231F20"/>
          <w:spacing w:val="2"/>
        </w:rPr>
        <w:t>tempatan</w:t>
      </w:r>
    </w:p>
    <w:p w14:paraId="169D5769" w14:textId="5ABF7858" w:rsidR="000F1A92" w:rsidRPr="000F1A92" w:rsidRDefault="00C55FAC" w:rsidP="008601F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rPr>
        <w:t xml:space="preserve">dikenakan soal siasat, gangguan atau intimidasi </w:t>
      </w:r>
      <w:r>
        <w:rPr>
          <w:rFonts w:ascii="Acumin Pro" w:hAnsi="Acumin Pro"/>
          <w:b/>
          <w:color w:val="231F20"/>
          <w:spacing w:val="4"/>
        </w:rPr>
        <w:t>oleh kumpulan tempatan</w:t>
      </w:r>
      <w:r w:rsidRPr="00144994">
        <w:rPr>
          <w:rFonts w:ascii="Acumin Pro" w:hAnsi="Acumin Pro"/>
          <w:color w:val="231F20"/>
        </w:rPr>
        <w:t>,</w:t>
      </w:r>
      <w:r>
        <w:rPr>
          <w:rFonts w:ascii="Acumin Pro" w:hAnsi="Acumin Pro"/>
          <w:b/>
          <w:color w:val="231F20"/>
        </w:rPr>
        <w:t xml:space="preserve"> </w:t>
      </w:r>
      <w:r>
        <w:rPr>
          <w:rFonts w:ascii="Acumin Pro" w:hAnsi="Acumin Pro"/>
          <w:color w:val="231F20"/>
        </w:rPr>
        <w:t>bukan</w:t>
      </w:r>
      <w:r>
        <w:rPr>
          <w:rFonts w:ascii="Acumin Pro" w:hAnsi="Acumin Pro"/>
          <w:b/>
          <w:color w:val="231F20"/>
        </w:rPr>
        <w:t xml:space="preserve"> </w:t>
      </w:r>
      <w:r>
        <w:rPr>
          <w:rFonts w:ascii="Acumin Pro" w:hAnsi="Acumin Pro"/>
          <w:color w:val="231F20"/>
        </w:rPr>
        <w:t>hanya</w:t>
      </w:r>
      <w:r>
        <w:rPr>
          <w:rFonts w:ascii="Acumin Pro" w:hAnsi="Acumin Pro"/>
          <w:b/>
          <w:color w:val="231F20"/>
        </w:rPr>
        <w:t xml:space="preserve"> </w:t>
      </w:r>
      <w:r>
        <w:rPr>
          <w:rFonts w:ascii="Acumin Pro" w:hAnsi="Acumin Pro"/>
          <w:color w:val="231F20"/>
        </w:rPr>
        <w:t>oleh</w:t>
      </w:r>
      <w:r>
        <w:rPr>
          <w:rFonts w:ascii="Acumin Pro" w:hAnsi="Acumin Pro"/>
          <w:color w:val="231F20"/>
          <w:spacing w:val="-5"/>
          <w:w w:val="108"/>
        </w:rPr>
        <w:t xml:space="preserve"> penguat kuasa atau</w:t>
      </w:r>
      <w:r>
        <w:rPr>
          <w:rFonts w:ascii="Acumin Pro" w:hAnsi="Acumin Pro"/>
          <w:b/>
          <w:color w:val="231F20"/>
        </w:rPr>
        <w:t xml:space="preserve"> pihak berkuasa</w:t>
      </w:r>
    </w:p>
    <w:p w14:paraId="2D2F1A0F" w14:textId="77777777" w:rsidR="000F1A92" w:rsidRPr="00AE43B7" w:rsidRDefault="000F1A92" w:rsidP="00E956A8">
      <w:pPr>
        <w:pStyle w:val="Heading2"/>
        <w:spacing w:before="360"/>
        <w:ind w:left="0"/>
        <w:rPr>
          <w:rFonts w:ascii="Acumin Pro" w:hAnsi="Acumin Pro"/>
        </w:rPr>
      </w:pPr>
      <w:r>
        <w:rPr>
          <w:rFonts w:ascii="Acumin Pro" w:hAnsi="Acumin Pro"/>
          <w:color w:val="391335"/>
        </w:rPr>
        <w:t>Bantuan konsular New Zealand</w:t>
      </w:r>
    </w:p>
    <w:p w14:paraId="03076CCC" w14:textId="77777777"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Kementerian Hal Ehwal Luar Negeri dan Perdagangan (MFAT) menyediakan perkhidmatan konsular kepada warganegara New Zealand yang berada di luar negara, walaupun mereka tidak biasanya menetap di New Zealand.</w:t>
      </w:r>
    </w:p>
    <w:p w14:paraId="54DA327A" w14:textId="77777777" w:rsidR="000F1A92" w:rsidRPr="00144994" w:rsidRDefault="000F1A92" w:rsidP="000364AB">
      <w:pPr>
        <w:pStyle w:val="BodyText"/>
        <w:spacing w:before="200" w:after="200"/>
        <w:rPr>
          <w:rFonts w:ascii="Acumin Pro" w:hAnsi="Acumin Pro"/>
        </w:rPr>
      </w:pPr>
      <w:r>
        <w:rPr>
          <w:rFonts w:ascii="Acumin Pro" w:hAnsi="Acumin Pro"/>
          <w:color w:val="231F20"/>
          <w:spacing w:val="3"/>
        </w:rPr>
        <w:t>Bantuan konsular secara amnya tidak disediakan kepada Pemastautin Tetap New Zealand.</w:t>
      </w:r>
    </w:p>
    <w:p w14:paraId="1A83DD3B" w14:textId="34BC5703"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Warganegara New Zealand yang berada di luar negara tertakluk kepada undang-undang tempatan di negara berkenaan, termasuk undang-undang yang mengawal penahanan, pendakwaan, atau sekatan perjalanan.</w:t>
      </w:r>
    </w:p>
    <w:p w14:paraId="34B471DC" w14:textId="77777777" w:rsidR="000F1A92" w:rsidRPr="00144994" w:rsidRDefault="000F1A92" w:rsidP="00E956A8">
      <w:pPr>
        <w:pStyle w:val="BodyText"/>
        <w:spacing w:before="360"/>
        <w:rPr>
          <w:rFonts w:ascii="Acumin Pro" w:hAnsi="Acumin Pro"/>
          <w:b/>
          <w:bCs/>
        </w:rPr>
      </w:pPr>
      <w:r>
        <w:rPr>
          <w:rFonts w:ascii="Acumin Pro" w:hAnsi="Acumin Pro"/>
          <w:b/>
          <w:color w:val="231F20"/>
          <w:spacing w:val="-2"/>
          <w:w w:val="107"/>
        </w:rPr>
        <w:t>Warganegara dwi-kerakyatan</w:t>
      </w:r>
    </w:p>
    <w:p w14:paraId="25F65E43" w14:textId="77777777" w:rsidR="002D6D45" w:rsidRDefault="000F1A92" w:rsidP="000364AB">
      <w:pPr>
        <w:pStyle w:val="BodyText"/>
        <w:spacing w:before="200" w:after="200" w:line="249" w:lineRule="auto"/>
        <w:rPr>
          <w:rFonts w:ascii="Acumin Pro" w:hAnsi="Acumin Pro"/>
          <w:color w:val="231F20"/>
          <w:w w:val="105"/>
        </w:rPr>
      </w:pPr>
      <w:r>
        <w:rPr>
          <w:rFonts w:ascii="Acumin Pro" w:hAnsi="Acumin Pro"/>
          <w:color w:val="231F20"/>
          <w:spacing w:val="-5"/>
          <w:w w:val="104"/>
        </w:rPr>
        <w:t>Memegang kewarganegaraan dwi-kerakyatan boleh menjejaskan keupayaan New Zealand untuk memberikan bantuan konsular. Apabila berada di negara kewarganegaraan yang satu lagi, pihak berkuasa tempatan mungkin hanya mengiktiraf individu tersebut sebagai warganegara mereka dan tidak membenarkan penglibatan New Zealand.</w:t>
      </w:r>
    </w:p>
    <w:p w14:paraId="2CFAB287" w14:textId="778AF4F9" w:rsidR="000F1A92" w:rsidRPr="00F177A4" w:rsidRDefault="000F1A92" w:rsidP="000364AB">
      <w:pPr>
        <w:pStyle w:val="BodyText"/>
        <w:spacing w:before="200" w:after="200" w:line="249" w:lineRule="auto"/>
        <w:rPr>
          <w:rFonts w:ascii="Acumin Pro" w:hAnsi="Acumin Pro"/>
        </w:rPr>
      </w:pPr>
      <w:r>
        <w:rPr>
          <w:rFonts w:ascii="Acumin Pro" w:hAnsi="Acumin Pro"/>
          <w:color w:val="231F20"/>
        </w:rPr>
        <w:t xml:space="preserve">Anda boleh mendapatkan maklumat lanjut di SafeTravel: </w:t>
      </w:r>
      <w:hyperlink r:id="rId7" w:history="1">
        <w:r>
          <w:rPr>
            <w:rStyle w:val="Hyperlink"/>
            <w:rFonts w:ascii="Acumin Pro" w:hAnsi="Acumin Pro"/>
          </w:rPr>
          <w:t>Warganegara dwi-kerakyatan dan pemastautin tetap</w:t>
        </w:r>
      </w:hyperlink>
      <w:r w:rsidRPr="00144994">
        <w:rPr>
          <w:rFonts w:ascii="Acumin Pro" w:hAnsi="Acumin Pro"/>
          <w:color w:val="0000FF"/>
        </w:rPr>
        <w:t xml:space="preserve"> </w:t>
      </w:r>
      <w:r>
        <w:rPr>
          <w:rFonts w:ascii="Acumin Pro" w:hAnsi="Acumin Pro"/>
          <w:color w:val="231F20"/>
        </w:rPr>
        <w:t>.</w:t>
      </w:r>
    </w:p>
    <w:p w14:paraId="0F0C8816" w14:textId="77777777" w:rsidR="000F1A92" w:rsidRPr="00144994" w:rsidRDefault="000F1A92" w:rsidP="00E956A8">
      <w:pPr>
        <w:pStyle w:val="BodyText"/>
        <w:spacing w:before="360"/>
        <w:rPr>
          <w:rFonts w:ascii="Acumin Pro" w:hAnsi="Acumin Pro"/>
          <w:b/>
          <w:bCs/>
        </w:rPr>
      </w:pPr>
      <w:r>
        <w:rPr>
          <w:rFonts w:ascii="Acumin Pro" w:hAnsi="Acumin Pro"/>
          <w:b/>
        </w:rPr>
        <w:t>Pelarian dan bekas pelarian</w:t>
      </w:r>
    </w:p>
    <w:p w14:paraId="6ECD5ED9" w14:textId="77777777" w:rsidR="000F1A92" w:rsidRPr="00144994" w:rsidRDefault="000F1A92" w:rsidP="000364AB">
      <w:pPr>
        <w:pStyle w:val="BodyText"/>
        <w:spacing w:before="200" w:after="200" w:line="249" w:lineRule="auto"/>
        <w:rPr>
          <w:rFonts w:ascii="Acumin Pro" w:hAnsi="Acumin Pro"/>
          <w:color w:val="231F20"/>
        </w:rPr>
      </w:pPr>
      <w:r>
        <w:rPr>
          <w:rFonts w:ascii="Acumin Pro" w:hAnsi="Acumin Pro"/>
          <w:color w:val="231F20"/>
        </w:rPr>
        <w:t>Sekiranya anda berstatus pelarian di luar New Zealand, terdapat batasan yang signifikan terhadap bentuk bantuan yang boleh disalurkan oleh Kerajaan New Zealand.</w:t>
      </w:r>
    </w:p>
    <w:p w14:paraId="65A8D97F" w14:textId="438E59EC" w:rsidR="000F1A92" w:rsidRPr="00144994" w:rsidRDefault="000F1A92" w:rsidP="000364AB">
      <w:pPr>
        <w:pStyle w:val="BodyText"/>
        <w:spacing w:before="200" w:after="200" w:line="249" w:lineRule="auto"/>
        <w:rPr>
          <w:rFonts w:ascii="Acumin Pro" w:hAnsi="Acumin Pro"/>
        </w:rPr>
      </w:pPr>
      <w:r>
        <w:rPr>
          <w:rFonts w:ascii="Acumin Pro" w:hAnsi="Acumin Pro"/>
          <w:color w:val="231F20"/>
        </w:rPr>
        <w:t xml:space="preserve">Maklumat lanjut boleh dirujuk melalui SafeTravel: </w:t>
      </w:r>
      <w:hyperlink r:id="rId8" w:history="1">
        <w:r>
          <w:rPr>
            <w:rStyle w:val="Hyperlink"/>
            <w:rFonts w:ascii="Acumin Pro" w:hAnsi="Acumin Pro"/>
            <w:spacing w:val="-2"/>
          </w:rPr>
          <w:t>Pelarian dan bekas pelarian.</w:t>
        </w:r>
      </w:hyperlink>
    </w:p>
    <w:p w14:paraId="19ACBA46" w14:textId="77777777" w:rsidR="000F1A92" w:rsidRPr="00AE43B7" w:rsidRDefault="000F1A92" w:rsidP="000364AB">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spacing w:val="-4"/>
        </w:rPr>
        <w:t>SafeTravel NZ</w:t>
      </w:r>
    </w:p>
    <w:p w14:paraId="1272E0CE" w14:textId="457567F8" w:rsidR="000F1A92" w:rsidRPr="00144994"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rPr>
          <w:rFonts w:ascii="Acumin Pro" w:hAnsi="Acumin Pro"/>
        </w:rPr>
      </w:pPr>
      <w:hyperlink r:id="rId9" w:history="1">
        <w:r>
          <w:rPr>
            <w:rStyle w:val="Hyperlink"/>
            <w:rFonts w:ascii="Acumin Pro" w:hAnsi="Acumin Pro"/>
          </w:rPr>
          <w:t>SafeTravel NZ</w:t>
        </w:r>
      </w:hyperlink>
      <w:r w:rsidR="003A4157">
        <w:t xml:space="preserve"> </w:t>
      </w:r>
      <w:r>
        <w:rPr>
          <w:rFonts w:ascii="Acumin Pro" w:hAnsi="Acumin Pro"/>
          <w:color w:val="231F20"/>
          <w:spacing w:val="-4"/>
          <w:w w:val="103"/>
        </w:rPr>
        <w:t>ialah laman rasmi MFAT bagi warganegara New Zealand yang mengembara atau menetap di luar negara, menyediakan nasihat perjalanan, perkhidmatan konsular, panduan keselamatan, serta sistem pendaftaran bagi para pengembara.</w:t>
      </w:r>
    </w:p>
    <w:p w14:paraId="745E1D48" w14:textId="0794DC32" w:rsidR="00A22050" w:rsidRPr="00A22050"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pPr>
      <w:r>
        <w:rPr>
          <w:rFonts w:ascii="Acumin Pro" w:hAnsi="Acumin Pro"/>
          <w:color w:val="231F20"/>
          <w:spacing w:val="-4"/>
          <w:w w:val="105"/>
        </w:rPr>
        <w:t xml:space="preserve">Pengembara patut </w:t>
      </w:r>
      <w:r w:rsidR="000F1A92" w:rsidRPr="00144994">
        <w:rPr>
          <w:rFonts w:ascii="Acumin Pro" w:hAnsi="Acumin Pro"/>
          <w:b/>
          <w:bCs/>
          <w:color w:val="231F20"/>
          <w:spacing w:val="-2"/>
          <w:w w:val="105"/>
        </w:rPr>
        <w:t xml:space="preserve">mendaftar dengan </w:t>
      </w:r>
      <w:r w:rsidR="000F1A92" w:rsidRPr="00144994">
        <w:rPr>
          <w:rFonts w:ascii="Acumin Pro" w:hAnsi="Acumin Pro"/>
          <w:color w:val="231F20"/>
          <w:spacing w:val="-7"/>
          <w:w w:val="105"/>
        </w:rPr>
        <w:t xml:space="preserve"> </w:t>
      </w:r>
      <w:hyperlink r:id="rId10" w:history="1">
        <w:r>
          <w:rPr>
            <w:rStyle w:val="Hyperlink"/>
            <w:rFonts w:ascii="Acumin Pro" w:hAnsi="Acumin Pro"/>
            <w:spacing w:val="-5"/>
            <w:w w:val="105"/>
          </w:rPr>
          <w:t>SafeTravel New Zealand</w:t>
        </w:r>
      </w:hyperlink>
      <w:r>
        <w:rPr>
          <w:rFonts w:ascii="Acumin Pro" w:hAnsi="Acumin Pro"/>
          <w:color w:val="231F20"/>
          <w:spacing w:val="-5"/>
          <w:w w:val="105"/>
        </w:rPr>
        <w:t xml:space="preserve"> sebelum melakukan </w:t>
      </w:r>
      <w:r>
        <w:rPr>
          <w:rFonts w:ascii="Acumin Pro" w:hAnsi="Acumin Pro"/>
          <w:color w:val="231F20"/>
          <w:spacing w:val="-5"/>
          <w:w w:val="105"/>
        </w:rPr>
        <w:lastRenderedPageBreak/>
        <w:t>perjalanan ke luar negara. Ini membantu MFAT menyampaikan maklumat terkini dengan segera, menghubungi pengembara sekiranya diperlukan, serta menyalurkan bantuan apabila keadaan mengizinkan.</w:t>
      </w:r>
    </w:p>
    <w:sectPr w:rsidR="00A22050" w:rsidRPr="00A22050" w:rsidSect="00203BB3">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575C2" w14:textId="77777777" w:rsidR="00DC46CA" w:rsidRDefault="00DC46CA">
      <w:r>
        <w:separator/>
      </w:r>
    </w:p>
  </w:endnote>
  <w:endnote w:type="continuationSeparator" w:id="0">
    <w:p w14:paraId="5C1412CF" w14:textId="77777777" w:rsidR="00DC46CA" w:rsidRDefault="00DC4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6522694C" w:rsidR="008F361B" w:rsidRPr="00216311" w:rsidRDefault="00EA4802" w:rsidP="008F361B">
    <w:pPr>
      <w:spacing w:before="22"/>
      <w:rPr>
        <w:rFonts w:ascii="Acumin Pro" w:hAnsi="Acumin Pro"/>
        <w:b/>
        <w:sz w:val="20"/>
        <w:szCs w:val="20"/>
      </w:rPr>
    </w:pPr>
    <w:r>
      <w:rPr>
        <w:rFonts w:ascii="Acumin Pro" w:hAnsi="Acumin Pro"/>
        <w:b/>
        <w:color w:val="391335"/>
        <w:sz w:val="20"/>
      </w:rPr>
      <w:t xml:space="preserve"> </w:t>
    </w:r>
    <w:r>
      <w:rPr>
        <w:rFonts w:ascii="Acumin Pro" w:hAnsi="Acumin Pro"/>
        <w:b/>
        <w:color w:val="391335"/>
        <w:sz w:val="20"/>
      </w:rPr>
      <w:t xml:space="preserve">Mengembara ke luar negara dan campur tangan asing </w:t>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EndPr/>
      <w:sdtContent>
        <w:r w:rsidR="008F361B" w:rsidRPr="00216311">
          <w:rPr>
            <w:rFonts w:ascii="Acumin Pro" w:hAnsi="Acumin Pro"/>
            <w:sz w:val="20"/>
            <w:szCs w:val="20"/>
          </w:rPr>
          <w:fldChar w:fldCharType="begin"/>
        </w:r>
        <w:r w:rsidR="008F361B" w:rsidRPr="00216311">
          <w:rPr>
            <w:rFonts w:ascii="Acumin Pro" w:hAnsi="Acumin Pro"/>
            <w:sz w:val="20"/>
            <w:szCs w:val="20"/>
          </w:rPr>
          <w:instrText xml:space="preserve"> PAGE   \* MERGEFORMAT </w:instrText>
        </w:r>
        <w:r w:rsidR="008F361B" w:rsidRPr="00216311">
          <w:rPr>
            <w:rFonts w:ascii="Acumin Pro" w:hAnsi="Acumin Pro"/>
            <w:sz w:val="20"/>
            <w:szCs w:val="20"/>
          </w:rPr>
          <w:fldChar w:fldCharType="separate"/>
        </w:r>
        <w:r>
          <w:rPr>
            <w:rFonts w:ascii="Acumin Pro" w:hAnsi="Acumin Pro"/>
            <w:sz w:val="20"/>
          </w:rPr>
          <w:t>3</w:t>
        </w:r>
        <w:r w:rsidR="008F361B" w:rsidRPr="00216311">
          <w:rPr>
            <w:rFonts w:ascii="Acumin Pro" w:hAnsi="Acumin Pro"/>
            <w:sz w:val="20"/>
            <w:szCs w:val="20"/>
          </w:rPr>
          <w:fldChar w:fldCharType="end"/>
        </w:r>
      </w:sdtContent>
    </w:sdt>
  </w:p>
  <w:p w14:paraId="59252AE6" w14:textId="77777777" w:rsidR="008F361B" w:rsidRPr="00B21C58" w:rsidRDefault="008F361B" w:rsidP="008F361B">
    <w:pPr>
      <w:pStyle w:val="BodyText"/>
      <w:spacing w:line="14" w:lineRule="auto"/>
      <w:rPr>
        <w:sz w:val="20"/>
      </w:rPr>
    </w:pPr>
  </w:p>
  <w:p w14:paraId="01EBB0C5" w14:textId="77777777" w:rsidR="008F361B" w:rsidRPr="00FE2C56" w:rsidRDefault="008F361B" w:rsidP="008F361B">
    <w:pPr>
      <w:pStyle w:val="BodyText"/>
      <w:spacing w:line="14" w:lineRule="auto"/>
      <w:rPr>
        <w:sz w:val="20"/>
      </w:rPr>
    </w:pPr>
  </w:p>
  <w:p w14:paraId="229436BC" w14:textId="49E928AB" w:rsidR="009C2AD2" w:rsidRDefault="009C2AD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9C9AA" w14:textId="77777777" w:rsidR="00DC46CA" w:rsidRDefault="00DC46CA">
      <w:r>
        <w:separator/>
      </w:r>
    </w:p>
  </w:footnote>
  <w:footnote w:type="continuationSeparator" w:id="0">
    <w:p w14:paraId="5CC6A9DC" w14:textId="77777777" w:rsidR="00DC46CA" w:rsidRDefault="00DC4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pPr>
    <w:r>
      <w:rPr>
        <w:noProof/>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rPr>
    </w:pPr>
  </w:p>
  <w:p w14:paraId="73908609" w14:textId="77777777" w:rsidR="00203879" w:rsidRPr="006B40DA" w:rsidRDefault="00203879" w:rsidP="00203879">
    <w:pPr>
      <w:pStyle w:val="Header"/>
    </w:pPr>
  </w:p>
  <w:p w14:paraId="229436BB" w14:textId="791BE5B4" w:rsidR="009C2AD2" w:rsidRPr="00203879" w:rsidRDefault="009C2AD2" w:rsidP="00203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ms-MY" w:eastAsia="en-US" w:bidi="ar-SA"/>
      </w:rPr>
    </w:lvl>
    <w:lvl w:ilvl="1" w:tplc="D2467CCA">
      <w:numFmt w:val="bullet"/>
      <w:lvlText w:val="•"/>
      <w:lvlJc w:val="left"/>
      <w:pPr>
        <w:ind w:left="2018" w:hanging="360"/>
      </w:pPr>
      <w:rPr>
        <w:rFonts w:hint="default"/>
        <w:lang w:val="ms-MY" w:eastAsia="en-US" w:bidi="ar-SA"/>
      </w:rPr>
    </w:lvl>
    <w:lvl w:ilvl="2" w:tplc="EC5E537C">
      <w:numFmt w:val="bullet"/>
      <w:lvlText w:val="•"/>
      <w:lvlJc w:val="left"/>
      <w:pPr>
        <w:ind w:left="2896" w:hanging="360"/>
      </w:pPr>
      <w:rPr>
        <w:rFonts w:hint="default"/>
        <w:lang w:val="ms-MY" w:eastAsia="en-US" w:bidi="ar-SA"/>
      </w:rPr>
    </w:lvl>
    <w:lvl w:ilvl="3" w:tplc="2378FF3E">
      <w:numFmt w:val="bullet"/>
      <w:lvlText w:val="•"/>
      <w:lvlJc w:val="left"/>
      <w:pPr>
        <w:ind w:left="3774" w:hanging="360"/>
      </w:pPr>
      <w:rPr>
        <w:rFonts w:hint="default"/>
        <w:lang w:val="ms-MY" w:eastAsia="en-US" w:bidi="ar-SA"/>
      </w:rPr>
    </w:lvl>
    <w:lvl w:ilvl="4" w:tplc="B52A7B3C">
      <w:numFmt w:val="bullet"/>
      <w:lvlText w:val="•"/>
      <w:lvlJc w:val="left"/>
      <w:pPr>
        <w:ind w:left="4653" w:hanging="360"/>
      </w:pPr>
      <w:rPr>
        <w:rFonts w:hint="default"/>
        <w:lang w:val="ms-MY" w:eastAsia="en-US" w:bidi="ar-SA"/>
      </w:rPr>
    </w:lvl>
    <w:lvl w:ilvl="5" w:tplc="0A8E574A">
      <w:numFmt w:val="bullet"/>
      <w:lvlText w:val="•"/>
      <w:lvlJc w:val="left"/>
      <w:pPr>
        <w:ind w:left="5531" w:hanging="360"/>
      </w:pPr>
      <w:rPr>
        <w:rFonts w:hint="default"/>
        <w:lang w:val="ms-MY" w:eastAsia="en-US" w:bidi="ar-SA"/>
      </w:rPr>
    </w:lvl>
    <w:lvl w:ilvl="6" w:tplc="3B34AFD2">
      <w:numFmt w:val="bullet"/>
      <w:lvlText w:val="•"/>
      <w:lvlJc w:val="left"/>
      <w:pPr>
        <w:ind w:left="6409" w:hanging="360"/>
      </w:pPr>
      <w:rPr>
        <w:rFonts w:hint="default"/>
        <w:lang w:val="ms-MY" w:eastAsia="en-US" w:bidi="ar-SA"/>
      </w:rPr>
    </w:lvl>
    <w:lvl w:ilvl="7" w:tplc="B4721A5E">
      <w:numFmt w:val="bullet"/>
      <w:lvlText w:val="•"/>
      <w:lvlJc w:val="left"/>
      <w:pPr>
        <w:ind w:left="7287" w:hanging="360"/>
      </w:pPr>
      <w:rPr>
        <w:rFonts w:hint="default"/>
        <w:lang w:val="ms-MY" w:eastAsia="en-US" w:bidi="ar-SA"/>
      </w:rPr>
    </w:lvl>
    <w:lvl w:ilvl="8" w:tplc="FF8AE3C2">
      <w:numFmt w:val="bullet"/>
      <w:lvlText w:val="•"/>
      <w:lvlJc w:val="left"/>
      <w:pPr>
        <w:ind w:left="8166" w:hanging="360"/>
      </w:pPr>
      <w:rPr>
        <w:rFonts w:hint="default"/>
        <w:lang w:val="ms-MY" w:eastAsia="en-US" w:bidi="ar-SA"/>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05665764">
    <w:abstractNumId w:val="2"/>
  </w:num>
  <w:num w:numId="2" w16cid:durableId="1488476550">
    <w:abstractNumId w:val="3"/>
  </w:num>
  <w:num w:numId="3" w16cid:durableId="1893736190">
    <w:abstractNumId w:val="1"/>
  </w:num>
  <w:num w:numId="4" w16cid:durableId="1193568708">
    <w:abstractNumId w:val="4"/>
  </w:num>
  <w:num w:numId="5" w16cid:durableId="209258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2AD2"/>
    <w:rsid w:val="00001F63"/>
    <w:rsid w:val="00010EEC"/>
    <w:rsid w:val="000364AB"/>
    <w:rsid w:val="0004060A"/>
    <w:rsid w:val="00045F3A"/>
    <w:rsid w:val="000478ED"/>
    <w:rsid w:val="00047B29"/>
    <w:rsid w:val="00050822"/>
    <w:rsid w:val="000630D6"/>
    <w:rsid w:val="00066891"/>
    <w:rsid w:val="0008019C"/>
    <w:rsid w:val="00081C60"/>
    <w:rsid w:val="000B2ABB"/>
    <w:rsid w:val="000B769F"/>
    <w:rsid w:val="000D27EC"/>
    <w:rsid w:val="000D2FEE"/>
    <w:rsid w:val="000D7DC8"/>
    <w:rsid w:val="000E7534"/>
    <w:rsid w:val="000F1A92"/>
    <w:rsid w:val="000F75AD"/>
    <w:rsid w:val="001039C9"/>
    <w:rsid w:val="001073A0"/>
    <w:rsid w:val="0011308E"/>
    <w:rsid w:val="00113B06"/>
    <w:rsid w:val="00130C4F"/>
    <w:rsid w:val="00132354"/>
    <w:rsid w:val="00144994"/>
    <w:rsid w:val="001502F2"/>
    <w:rsid w:val="001517E9"/>
    <w:rsid w:val="001547E0"/>
    <w:rsid w:val="0016622B"/>
    <w:rsid w:val="00170141"/>
    <w:rsid w:val="00182187"/>
    <w:rsid w:val="0019254C"/>
    <w:rsid w:val="00193978"/>
    <w:rsid w:val="001957D9"/>
    <w:rsid w:val="001973AA"/>
    <w:rsid w:val="001A0E92"/>
    <w:rsid w:val="001C48DE"/>
    <w:rsid w:val="00203879"/>
    <w:rsid w:val="00203BB3"/>
    <w:rsid w:val="002118AB"/>
    <w:rsid w:val="00237378"/>
    <w:rsid w:val="00243315"/>
    <w:rsid w:val="00251550"/>
    <w:rsid w:val="00262582"/>
    <w:rsid w:val="0026270D"/>
    <w:rsid w:val="00262DF9"/>
    <w:rsid w:val="002810EB"/>
    <w:rsid w:val="002C1F17"/>
    <w:rsid w:val="002D6102"/>
    <w:rsid w:val="002D6D45"/>
    <w:rsid w:val="002E3E01"/>
    <w:rsid w:val="002F4C26"/>
    <w:rsid w:val="00300240"/>
    <w:rsid w:val="00301162"/>
    <w:rsid w:val="00301EDE"/>
    <w:rsid w:val="003024D8"/>
    <w:rsid w:val="003054D4"/>
    <w:rsid w:val="003105E6"/>
    <w:rsid w:val="00350DCC"/>
    <w:rsid w:val="003549A1"/>
    <w:rsid w:val="0037169A"/>
    <w:rsid w:val="00374F66"/>
    <w:rsid w:val="003763CA"/>
    <w:rsid w:val="003A4157"/>
    <w:rsid w:val="003A689A"/>
    <w:rsid w:val="003B3FF4"/>
    <w:rsid w:val="003C1693"/>
    <w:rsid w:val="003C20A9"/>
    <w:rsid w:val="003D1DC0"/>
    <w:rsid w:val="003F6360"/>
    <w:rsid w:val="004236E8"/>
    <w:rsid w:val="004270DA"/>
    <w:rsid w:val="0045645A"/>
    <w:rsid w:val="0046523A"/>
    <w:rsid w:val="00466BA9"/>
    <w:rsid w:val="00475CCC"/>
    <w:rsid w:val="0048210E"/>
    <w:rsid w:val="004A0136"/>
    <w:rsid w:val="004A37E0"/>
    <w:rsid w:val="004A7A9B"/>
    <w:rsid w:val="004B3215"/>
    <w:rsid w:val="004E4F55"/>
    <w:rsid w:val="004E5BFB"/>
    <w:rsid w:val="004F1949"/>
    <w:rsid w:val="004F4CF3"/>
    <w:rsid w:val="005000E9"/>
    <w:rsid w:val="00507EDE"/>
    <w:rsid w:val="0051521A"/>
    <w:rsid w:val="00533A0D"/>
    <w:rsid w:val="00534A20"/>
    <w:rsid w:val="00584A41"/>
    <w:rsid w:val="00590FC5"/>
    <w:rsid w:val="005A7D8B"/>
    <w:rsid w:val="005B1C86"/>
    <w:rsid w:val="005B4CA2"/>
    <w:rsid w:val="005B51A5"/>
    <w:rsid w:val="005B5D5D"/>
    <w:rsid w:val="005B7E21"/>
    <w:rsid w:val="005C1BAD"/>
    <w:rsid w:val="005C38AF"/>
    <w:rsid w:val="005E1A19"/>
    <w:rsid w:val="00612825"/>
    <w:rsid w:val="006306BC"/>
    <w:rsid w:val="0063237B"/>
    <w:rsid w:val="00634E41"/>
    <w:rsid w:val="0064487C"/>
    <w:rsid w:val="00645ACF"/>
    <w:rsid w:val="00646B77"/>
    <w:rsid w:val="00651741"/>
    <w:rsid w:val="00654943"/>
    <w:rsid w:val="00654DF4"/>
    <w:rsid w:val="00660933"/>
    <w:rsid w:val="0066137F"/>
    <w:rsid w:val="006949D1"/>
    <w:rsid w:val="00694F39"/>
    <w:rsid w:val="00695786"/>
    <w:rsid w:val="006A09EE"/>
    <w:rsid w:val="006B0B2E"/>
    <w:rsid w:val="006B59AB"/>
    <w:rsid w:val="006C00A5"/>
    <w:rsid w:val="006C7EA9"/>
    <w:rsid w:val="006E745E"/>
    <w:rsid w:val="007122D0"/>
    <w:rsid w:val="007302E7"/>
    <w:rsid w:val="0075548C"/>
    <w:rsid w:val="007616CF"/>
    <w:rsid w:val="007630D8"/>
    <w:rsid w:val="007654CB"/>
    <w:rsid w:val="007667C2"/>
    <w:rsid w:val="00771504"/>
    <w:rsid w:val="00771F6F"/>
    <w:rsid w:val="00772EF1"/>
    <w:rsid w:val="00773891"/>
    <w:rsid w:val="00787ECB"/>
    <w:rsid w:val="007C0F47"/>
    <w:rsid w:val="007C7FFD"/>
    <w:rsid w:val="0080100E"/>
    <w:rsid w:val="008013FE"/>
    <w:rsid w:val="00812D8C"/>
    <w:rsid w:val="00814361"/>
    <w:rsid w:val="0082642B"/>
    <w:rsid w:val="0083504D"/>
    <w:rsid w:val="00836104"/>
    <w:rsid w:val="00843CF4"/>
    <w:rsid w:val="008601FE"/>
    <w:rsid w:val="00887BA6"/>
    <w:rsid w:val="00887C79"/>
    <w:rsid w:val="008C1442"/>
    <w:rsid w:val="008C2A16"/>
    <w:rsid w:val="008D468B"/>
    <w:rsid w:val="008D5688"/>
    <w:rsid w:val="008E3714"/>
    <w:rsid w:val="008F361B"/>
    <w:rsid w:val="00905CB0"/>
    <w:rsid w:val="009176E1"/>
    <w:rsid w:val="009372BD"/>
    <w:rsid w:val="009477B7"/>
    <w:rsid w:val="00950101"/>
    <w:rsid w:val="00961B83"/>
    <w:rsid w:val="00971511"/>
    <w:rsid w:val="00995E84"/>
    <w:rsid w:val="009976E3"/>
    <w:rsid w:val="009A67F6"/>
    <w:rsid w:val="009B55E4"/>
    <w:rsid w:val="009C2AD2"/>
    <w:rsid w:val="009E575D"/>
    <w:rsid w:val="00A061CD"/>
    <w:rsid w:val="00A22050"/>
    <w:rsid w:val="00A224E1"/>
    <w:rsid w:val="00A270E8"/>
    <w:rsid w:val="00A479BA"/>
    <w:rsid w:val="00A525AD"/>
    <w:rsid w:val="00A576AD"/>
    <w:rsid w:val="00A83F93"/>
    <w:rsid w:val="00A877BF"/>
    <w:rsid w:val="00A87EB8"/>
    <w:rsid w:val="00A97153"/>
    <w:rsid w:val="00AA08F3"/>
    <w:rsid w:val="00AB2A5C"/>
    <w:rsid w:val="00AC1DA8"/>
    <w:rsid w:val="00AC239B"/>
    <w:rsid w:val="00AC54D5"/>
    <w:rsid w:val="00AC74E1"/>
    <w:rsid w:val="00AE3EB0"/>
    <w:rsid w:val="00AE43B7"/>
    <w:rsid w:val="00AE6812"/>
    <w:rsid w:val="00AE7A01"/>
    <w:rsid w:val="00B12A2F"/>
    <w:rsid w:val="00B13F9B"/>
    <w:rsid w:val="00B211FA"/>
    <w:rsid w:val="00B23568"/>
    <w:rsid w:val="00B30B22"/>
    <w:rsid w:val="00B53526"/>
    <w:rsid w:val="00B81A37"/>
    <w:rsid w:val="00B83161"/>
    <w:rsid w:val="00B935C4"/>
    <w:rsid w:val="00B95C2E"/>
    <w:rsid w:val="00B95D86"/>
    <w:rsid w:val="00B96690"/>
    <w:rsid w:val="00BB0D32"/>
    <w:rsid w:val="00BE258E"/>
    <w:rsid w:val="00C1119A"/>
    <w:rsid w:val="00C14765"/>
    <w:rsid w:val="00C30E6F"/>
    <w:rsid w:val="00C55FAC"/>
    <w:rsid w:val="00C61085"/>
    <w:rsid w:val="00C727E3"/>
    <w:rsid w:val="00C87895"/>
    <w:rsid w:val="00C9262E"/>
    <w:rsid w:val="00C96073"/>
    <w:rsid w:val="00C966DB"/>
    <w:rsid w:val="00CA3901"/>
    <w:rsid w:val="00CB0646"/>
    <w:rsid w:val="00CB1968"/>
    <w:rsid w:val="00CB3198"/>
    <w:rsid w:val="00CD04F4"/>
    <w:rsid w:val="00CF7A2C"/>
    <w:rsid w:val="00D01D48"/>
    <w:rsid w:val="00D0646C"/>
    <w:rsid w:val="00D27A26"/>
    <w:rsid w:val="00D607CB"/>
    <w:rsid w:val="00D8626E"/>
    <w:rsid w:val="00D92D80"/>
    <w:rsid w:val="00DA2D96"/>
    <w:rsid w:val="00DB523A"/>
    <w:rsid w:val="00DC46CA"/>
    <w:rsid w:val="00DC4A0C"/>
    <w:rsid w:val="00E16713"/>
    <w:rsid w:val="00E337DE"/>
    <w:rsid w:val="00E4555C"/>
    <w:rsid w:val="00E45C92"/>
    <w:rsid w:val="00E64873"/>
    <w:rsid w:val="00E71845"/>
    <w:rsid w:val="00E82969"/>
    <w:rsid w:val="00E956A8"/>
    <w:rsid w:val="00EA0987"/>
    <w:rsid w:val="00EA4802"/>
    <w:rsid w:val="00ED51CC"/>
    <w:rsid w:val="00EE0CCE"/>
    <w:rsid w:val="00EE526F"/>
    <w:rsid w:val="00EF57A8"/>
    <w:rsid w:val="00EF5A32"/>
    <w:rsid w:val="00F01687"/>
    <w:rsid w:val="00F067B1"/>
    <w:rsid w:val="00F11AC5"/>
    <w:rsid w:val="00F177A4"/>
    <w:rsid w:val="00F225D0"/>
    <w:rsid w:val="00F27982"/>
    <w:rsid w:val="00F32C02"/>
    <w:rsid w:val="00F4150A"/>
    <w:rsid w:val="00F565EC"/>
    <w:rsid w:val="00F82B7D"/>
    <w:rsid w:val="00F96A2A"/>
    <w:rsid w:val="00F96F22"/>
    <w:rsid w:val="00F96FA4"/>
    <w:rsid w:val="00FB1AFE"/>
    <w:rsid w:val="00FB3407"/>
    <w:rsid w:val="00FB3BB0"/>
    <w:rsid w:val="00FB7026"/>
    <w:rsid w:val="00FC14F8"/>
    <w:rsid w:val="00FC1EA1"/>
    <w:rsid w:val="00FC71E4"/>
    <w:rsid w:val="00FD68A0"/>
    <w:rsid w:val="00FD7661"/>
    <w:rsid w:val="00FE6985"/>
    <w:rsid w:val="00FF1BA1"/>
    <w:rsid w:val="00FF1FE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s-MY"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styleId="UnresolvedMention">
    <w:name w:val="Unresolved Mention"/>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refugees-and-former-refugees"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safetravel.govt.nz/before-you-go/who-is-travelling/dual-citizens-and-permanent-resident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safetravel.govt.nz/" TargetMode="External"/><Relationship Id="rId4" Type="http://schemas.openxmlformats.org/officeDocument/2006/relationships/webSettings" Target="webSettings.xml"/><Relationship Id="rId9" Type="http://schemas.openxmlformats.org/officeDocument/2006/relationships/hyperlink" Target="https://www.safetravel.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CRFIWEBSITE-145050222-378</_dlc_DocId>
    <_dlc_DocIdUrl xmlns="c78cdbf8-4243-4362-8765-2acd0e03065b">
      <Url>https://azurediagovt.sharepoint.com/sites/EXT-CommunityResiliencetoForeignInterferencewebsite_MEC/_layouts/15/DocIdRedir.aspx?ID=CRFIWEBSITE-145050222-378</Url>
      <Description>CRFIWEBSITE-145050222-378</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D3AB857E-6657-4DC1-83B9-7BF45CE1FBE3}"/>
</file>

<file path=customXml/itemProps2.xml><?xml version="1.0" encoding="utf-8"?>
<ds:datastoreItem xmlns:ds="http://schemas.openxmlformats.org/officeDocument/2006/customXml" ds:itemID="{5B63CC8D-B725-4896-9FD2-5D8015E220A2}"/>
</file>

<file path=customXml/itemProps3.xml><?xml version="1.0" encoding="utf-8"?>
<ds:datastoreItem xmlns:ds="http://schemas.openxmlformats.org/officeDocument/2006/customXml" ds:itemID="{093CE876-5A72-4756-8911-C200E068D099}"/>
</file>

<file path=customXml/itemProps4.xml><?xml version="1.0" encoding="utf-8"?>
<ds:datastoreItem xmlns:ds="http://schemas.openxmlformats.org/officeDocument/2006/customXml" ds:itemID="{9D91D103-7352-4815-928A-5562D5A7850A}"/>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3456</Characters>
  <Application>Microsoft Office Word</Application>
  <DocSecurity>2</DocSecurity>
  <Lines>28</Lines>
  <Paragraphs>8</Paragraphs>
  <ScaleCrop>false</ScaleCrop>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2026-08-10T19:27:00Z</dcterms:created>
  <dcterms:modified xsi:type="dcterms:W3CDTF">2026-08-10T19:28:00Z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832700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ca929e50-d9a9-4b0b-91ce-719e66e889f9</vt:lpwstr>
  </property>
  <property fmtid="{D5CDD505-2E9C-101B-9397-08002B2CF9AE}" pid="14" name="DIASecurityClassification">
    <vt:i4>2</vt:i4>
  </property>
  <property fmtid="{D5CDD505-2E9C-101B-9397-08002B2CF9AE}" pid="15" name="TriggerFlowInfo">
    <vt:lpwstr/>
  </property>
</Properties>
</file>