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Viagens ao exterior e interferência estrangeira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5"/>
        </w:rPr>
        <w:t>Ao viajar para o exterior, algumas pessoas podem sofrer interferência estrangeira através de um escrutínio adicional por parte de autoridades estrangeiras, incluindo seus departamentos de segurança e inteligência.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>É importante lembrar que a maioria dos viajantes pode não passar por isso, e que a vigilância nas fronteiras é comum em todo o mundo, geralmente rotineira e não relacionada com interferências estrangeiras.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</w:rPr>
        <w:t>Pessoas que podem estar sujeitas a escrutínio adicional relacionado com interferência estrangeira incluem: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2"/>
        </w:rPr>
        <w:t>pessoas que foram alvo na Nova Zelândia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membros da comunidade que são conhecidos por terem opiniões dissidentes ou serem críticos em relação a estados estrangeiros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líderes comunitários, defensores e ativistas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membros da comunidade que viajam por motivos familiares, comunitários ou profissionais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</w:rPr>
        <w:t>membros da comunidade que trabalham para o governo da Nova Zelândia, conselhos governamentais locais ou são representantes eleitos na Nova Zelândia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2"/>
        </w:rPr>
        <w:t>membros da comunidade que trabalham em outros setores-chave, por exemplo, infraestrutura crítica, meio acadêmico e mídia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</w:rPr>
        <w:t>ex-refugiados.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As pessoas podem enfrentar riscos dependendo do país, tais como: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>serem questionadas</w:t>
      </w:r>
      <w:r>
        <w:rPr>
          <w:rFonts w:ascii="Acumin Pro" w:hAnsi="Acumin Pro"/>
          <w:color w:val="231F20"/>
          <w:spacing w:val="-7"/>
          <w:w w:val="105"/>
        </w:rPr>
        <w:t xml:space="preserve"> desnecessariamente pelas autoridades locais, por exemplo, sobre planos de viagem, atividades ou conexões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>terem a entrada ou</w:t>
      </w:r>
      <w:r>
        <w:rPr>
          <w:rFonts w:ascii="Acumin Pro" w:hAnsi="Acumin Pro"/>
          <w:b/>
          <w:color w:val="231F20"/>
          <w:w w:val="105"/>
        </w:rPr>
        <w:t xml:space="preserve"> saída</w:t>
      </w:r>
      <w:r>
        <w:rPr>
          <w:rFonts w:ascii="Acumin Pro" w:hAnsi="Acumin Pro"/>
          <w:color w:val="231F20"/>
          <w:spacing w:val="-6"/>
          <w:w w:val="105"/>
        </w:rPr>
        <w:t xml:space="preserve"> negadas, ou serem recusadas no embarque em voos ou na entrada nos postos de controle de fronteira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imposição</w:t>
      </w:r>
      <w:r>
        <w:rPr>
          <w:rFonts w:ascii="Acumin Pro" w:hAnsi="Acumin Pro"/>
          <w:b/>
          <w:color w:val="231F20"/>
          <w:spacing w:val="-3"/>
          <w:w w:val="105"/>
        </w:rPr>
        <w:t xml:space="preserve"> de restrições</w:t>
      </w:r>
      <w:r>
        <w:rPr>
          <w:rFonts w:ascii="Acumin Pro" w:hAnsi="Acumin Pro"/>
          <w:b/>
          <w:color w:val="231F20"/>
          <w:w w:val="105"/>
        </w:rPr>
        <w:t xml:space="preserve"> de viagem ou visto</w:t>
      </w:r>
      <w:r>
        <w:rPr>
          <w:rFonts w:ascii="Acumin Pro" w:hAnsi="Acumin Pro"/>
          <w:color w:val="231F20"/>
          <w:spacing w:val="-1"/>
          <w:w w:val="105"/>
        </w:rPr>
        <w:t>, incluindo limitações à circulação dentro do país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>passar por revista de dispositivos eletrônicos</w:t>
      </w:r>
      <w:r>
        <w:rPr>
          <w:rFonts w:ascii="Acumin Pro" w:hAnsi="Acumin Pro"/>
          <w:color w:val="231F20"/>
          <w:spacing w:val="-4"/>
          <w:w w:val="105"/>
        </w:rPr>
        <w:t>, incluindo celulares, laptops ou outros dispositivos, o que pode envolver o acesso a informações pessoais ou comunicações</w:t>
      </w:r>
    </w:p>
    <w:p w14:paraId="5052F636" w14:textId="6E249041" w:rsidR="004270DA" w:rsidRPr="00CC3194" w:rsidRDefault="00C55FAC" w:rsidP="00CC3194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  <w:color w:val="231F20"/>
          <w:w w:val="110"/>
        </w:rPr>
      </w:pPr>
      <w:r>
        <w:rPr>
          <w:rFonts w:ascii="Acumin Pro" w:hAnsi="Acumin Pro"/>
          <w:b/>
          <w:color w:val="231F20"/>
        </w:rPr>
        <w:t>vigilância direcionada, detenção ou prisão após a chegada</w:t>
      </w:r>
      <w:r w:rsidRPr="004270DA">
        <w:rPr>
          <w:rFonts w:ascii="Acumin Pro" w:hAnsi="Acumin Pro"/>
          <w:color w:val="231F20"/>
        </w:rPr>
        <w:t>,</w:t>
      </w:r>
      <w:r>
        <w:rPr>
          <w:rFonts w:ascii="Acumin Pro" w:hAnsi="Acumin Pro"/>
          <w:color w:val="231F20"/>
        </w:rPr>
        <w:t xml:space="preserve"> que pode incluir</w:t>
      </w:r>
      <w:r>
        <w:rPr>
          <w:rFonts w:ascii="Acumin Pro" w:hAnsi="Acumin Pro"/>
          <w:color w:val="231F20"/>
          <w:spacing w:val="-3"/>
          <w:w w:val="110"/>
        </w:rPr>
        <w:t xml:space="preserve"> ações legais</w:t>
      </w:r>
      <w:r>
        <w:rPr>
          <w:rFonts w:ascii="Acumin Pro" w:hAnsi="Acumin Pro"/>
          <w:color w:val="231F20"/>
        </w:rPr>
        <w:t xml:space="preserve"> formais</w:t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2"/>
        </w:rPr>
        <w:lastRenderedPageBreak/>
        <w:t>sofrer intimidação, assédio</w:t>
      </w:r>
      <w:r>
        <w:rPr>
          <w:rFonts w:ascii="Acumin Pro" w:hAnsi="Acumin Pro"/>
          <w:b/>
          <w:color w:val="231F20"/>
          <w:spacing w:val="4"/>
        </w:rPr>
        <w:t xml:space="preserve"> ou ameaças</w:t>
      </w:r>
      <w:r>
        <w:rPr>
          <w:rFonts w:ascii="Acumin Pro" w:hAnsi="Acumin Pro"/>
          <w:color w:val="231F20"/>
          <w:spacing w:val="2"/>
        </w:rPr>
        <w:t xml:space="preserve"> por parte</w:t>
      </w:r>
      <w:r>
        <w:rPr>
          <w:rFonts w:ascii="Acumin Pro" w:hAnsi="Acumin Pro"/>
          <w:color w:val="231F20"/>
          <w:spacing w:val="-2"/>
        </w:rPr>
        <w:t xml:space="preserve"> das autoridades</w:t>
      </w:r>
      <w:r>
        <w:rPr>
          <w:rFonts w:ascii="Acumin Pro" w:hAnsi="Acumin Pro"/>
          <w:color w:val="231F20"/>
          <w:spacing w:val="2"/>
        </w:rPr>
        <w:t xml:space="preserve"> locais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</w:rPr>
        <w:t>serem submetidas a interrogatórios, assédio ou intimidação</w:t>
      </w:r>
      <w:r>
        <w:rPr>
          <w:rFonts w:ascii="Acumin Pro" w:hAnsi="Acumin Pro"/>
          <w:b/>
          <w:color w:val="231F20"/>
          <w:spacing w:val="4"/>
        </w:rPr>
        <w:t xml:space="preserve"> por grupos locais</w:t>
      </w:r>
      <w:r w:rsidRPr="00144994">
        <w:rPr>
          <w:rFonts w:ascii="Acumin Pro" w:hAnsi="Acumin Pro"/>
          <w:color w:val="231F20"/>
        </w:rPr>
        <w:t>,</w:t>
      </w:r>
      <w:r>
        <w:rPr>
          <w:rFonts w:ascii="Acumin Pro" w:hAnsi="Acumin Pro"/>
          <w:color w:val="231F20"/>
        </w:rPr>
        <w:t xml:space="preserve"> não apenas por</w:t>
      </w:r>
      <w:r>
        <w:rPr>
          <w:rFonts w:ascii="Acumin Pro" w:hAnsi="Acumin Pro"/>
          <w:color w:val="231F20"/>
          <w:spacing w:val="-5"/>
          <w:w w:val="108"/>
        </w:rPr>
        <w:t xml:space="preserve"> parte das autoridades ou polícias.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Assistência consular da Nova Zelândia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O Ministério das Relações Exteriores e Comércio (MFAT) presta serviços consulares a cidadãos neozelandeses fora da Nova Zelândia, mesmo que normalmente não vivam na Nova Zelândia.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3"/>
        </w:rPr>
        <w:t>A assistência consular geralmente não é fornecida aos Residentes Permanentes da Nova Zelândia.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Os neozelandeses no exterior estão sujeitos às leis locais do outro país, incluindo as leis desse país que regem a detenção, processo ou restrições à viagem.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Cidadãos com dupla nacionalidade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5"/>
          <w:w w:val="104"/>
        </w:rPr>
        <w:t>Possuir dupla cidadania pode afetar a capacidade da Nova Zelândia de prestar assistência consular. Quando se encontra no país de outra cidadania, as autoridades locais podem tratar a pessoa apenas como sua cidadã e não permitir a intervenção da Nova Zelândia.</w:t>
      </w:r>
    </w:p>
    <w:p w14:paraId="2CFAB287" w14:textId="778AF4F9" w:rsidR="000F1A92" w:rsidRPr="00F177A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Você pode encontrar mais informações sobre Viagem Segura: </w:t>
      </w:r>
      <w:hyperlink r:id="rId7" w:history="1">
        <w:r>
          <w:rPr>
            <w:rStyle w:val="Hyperlink"/>
            <w:rFonts w:ascii="Acumin Pro" w:hAnsi="Acumin Pro"/>
          </w:rPr>
          <w:t>Cidadãos com dupla nacionalidade e residentes permanentes</w:t>
        </w:r>
      </w:hyperlink>
      <w:r w:rsidRPr="00144994">
        <w:rPr>
          <w:rFonts w:ascii="Acumin Pro" w:hAnsi="Acumin Pro"/>
          <w:color w:val="0000FF"/>
        </w:rPr>
        <w:t xml:space="preserve"> 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</w:rPr>
        <w:t>Refugiados e ex-refugiados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Se você for um refugiado fora da Nova Zelândia, existem limitações significativas ao apoio que o governo da Nova Zelândia pode fornecer.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Você pode encontrar mais informações sobre Viagem Segura: </w:t>
      </w:r>
      <w:hyperlink r:id="rId8" w:history="1">
        <w:r>
          <w:rPr>
            <w:rStyle w:val="Hyperlink"/>
            <w:rFonts w:ascii="Acumin Pro" w:hAnsi="Acumin Pro"/>
            <w:spacing w:val="-2"/>
          </w:rPr>
          <w:t>Refugiados e ex-refugiados</w:t>
        </w:r>
      </w:hyperlink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SafeTravel NZ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O SafeTravel NZ</w:t>
        </w:r>
      </w:hyperlink>
      <w:r>
        <w:rPr>
          <w:rFonts w:ascii="Acumin Pro" w:hAnsi="Acumin Pro"/>
          <w:color w:val="231F20"/>
          <w:spacing w:val="-4"/>
          <w:w w:val="103"/>
        </w:rPr>
        <w:t xml:space="preserve"> é o site oficial do MFAT para neozelandeses que viajam ou vivem no exterior, oferecendo conselhos de viagem, serviços consulares, dicas de segurança e um sistema de registo para viajantes.</w:t>
      </w:r>
    </w:p>
    <w:p w14:paraId="745E1D48" w14:textId="0794DC32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hAnsi="Acumin Pro"/>
          <w:color w:val="231F20"/>
          <w:spacing w:val="-4"/>
          <w:w w:val="105"/>
        </w:rPr>
        <w:t xml:space="preserve">Os viajantes devem </w:t>
      </w:r>
      <w:r w:rsidR="000F1A92" w:rsidRPr="00144994">
        <w:rPr>
          <w:rFonts w:ascii="Acumin Pro" w:hAnsi="Acumin Pro"/>
          <w:b/>
          <w:bCs/>
          <w:color w:val="231F20"/>
          <w:spacing w:val="-2"/>
          <w:w w:val="105"/>
        </w:rPr>
        <w:t>se registrar na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hyperlink r:id="rId10" w:history="1">
        <w:r>
          <w:rPr>
            <w:rStyle w:val="Hyperlink"/>
            <w:rFonts w:ascii="Acumin Pro" w:hAnsi="Acumin Pro"/>
            <w:spacing w:val="-5"/>
            <w:w w:val="105"/>
          </w:rPr>
          <w:t>SafeTravel New Zealand</w:t>
        </w:r>
      </w:hyperlink>
      <w:r>
        <w:rPr>
          <w:rFonts w:ascii="Acumin Pro" w:hAnsi="Acumin Pro"/>
          <w:color w:val="231F20"/>
          <w:spacing w:val="-5"/>
          <w:w w:val="105"/>
        </w:rPr>
        <w:t xml:space="preserve"> antes de viajar para o exterior. Isto ajuda a MFAT a fornecer atualizações em tempo real, contactar viajantes, se necessário, e oferecer assistência sempre que possível.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177C" w14:textId="77777777" w:rsidR="006B5DDF" w:rsidRDefault="006B5DDF">
      <w:r>
        <w:separator/>
      </w:r>
    </w:p>
  </w:endnote>
  <w:endnote w:type="continuationSeparator" w:id="0">
    <w:p w14:paraId="1D1B44C8" w14:textId="77777777" w:rsidR="006B5DDF" w:rsidRDefault="006B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26358922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/>
        <w:b/>
        <w:color w:val="391335"/>
        <w:sz w:val="20"/>
      </w:rPr>
      <w:t xml:space="preserve">Viagens ao exterior e interferência estrangeira 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C2297" w14:textId="77777777" w:rsidR="006B5DDF" w:rsidRDefault="006B5DDF">
      <w:r>
        <w:separator/>
      </w:r>
    </w:p>
  </w:footnote>
  <w:footnote w:type="continuationSeparator" w:id="0">
    <w:p w14:paraId="113D7E25" w14:textId="77777777" w:rsidR="006B5DDF" w:rsidRDefault="006B5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pt-PT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pt-PT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pt-PT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pt-PT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pt-PT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pt-PT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45B4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E6351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B5DDF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2C4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11FA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C3194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DF6A9B"/>
    <w:rsid w:val="00E16713"/>
    <w:rsid w:val="00E225BD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CRFIWEBSITE-145050222-440</_dlc_DocId>
    <_dlc_DocIdUrl xmlns="c78cdbf8-4243-4362-8765-2acd0e03065b">
      <Url>https://azurediagovt.sharepoint.com/sites/EXT-CommunityResiliencetoForeignInterferencewebsite_MEC/_layouts/15/DocIdRedir.aspx?ID=CRFIWEBSITE-145050222-440</Url>
      <Description>CRFIWEBSITE-145050222-440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F8E3F979-FE96-4BB4-B0D8-6471D602F5A2}"/>
</file>

<file path=customXml/itemProps2.xml><?xml version="1.0" encoding="utf-8"?>
<ds:datastoreItem xmlns:ds="http://schemas.openxmlformats.org/officeDocument/2006/customXml" ds:itemID="{575B8508-6CF5-4045-B174-0766751D5F9C}"/>
</file>

<file path=customXml/itemProps3.xml><?xml version="1.0" encoding="utf-8"?>
<ds:datastoreItem xmlns:ds="http://schemas.openxmlformats.org/officeDocument/2006/customXml" ds:itemID="{678595BC-2FE2-418C-84EF-CAEAC913BCF8}"/>
</file>

<file path=customXml/itemProps4.xml><?xml version="1.0" encoding="utf-8"?>
<ds:datastoreItem xmlns:ds="http://schemas.openxmlformats.org/officeDocument/2006/customXml" ds:itemID="{546BB968-B0ED-45F6-8231-C5CB56294E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3335</Characters>
  <Application>Microsoft Office Word</Application>
  <DocSecurity>2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2026-08-10T19:38:00Z</dcterms:created>
  <dcterms:modified xsi:type="dcterms:W3CDTF">2026-08-10T19:38:00Z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834600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0682d78c-9333-456a-b5f9-e28fe74dadec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