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731F5" w14:textId="77777777" w:rsidR="00897DF9" w:rsidRDefault="00000000">
      <w:pPr>
        <w:pStyle w:val="Heading1"/>
        <w:ind w:left="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  <w:color w:val="391335"/>
        </w:rPr>
        <w:t>Desinformação</w:t>
      </w:r>
    </w:p>
    <w:p w14:paraId="1BC731F6" w14:textId="77777777" w:rsidR="00897DF9" w:rsidRDefault="00000000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</w:rPr>
        <w:t xml:space="preserve">Este recurso foca na </w:t>
      </w:r>
      <w:r>
        <w:rPr>
          <w:rFonts w:ascii="Acumin Pro" w:eastAsia="Acumin Pro" w:hAnsi="Acumin Pro" w:cs="Acumin Pro"/>
          <w:b/>
          <w:bCs/>
        </w:rPr>
        <w:t>desinformação, que é informação criada ou compartilhada deliberadamente para enganar e causar danos</w:t>
      </w:r>
      <w:r>
        <w:rPr>
          <w:rFonts w:ascii="Acumin Pro" w:eastAsia="Acumin Pro" w:hAnsi="Acumin Pro" w:cs="Acumin Pro"/>
        </w:rPr>
        <w:t>.</w:t>
      </w:r>
    </w:p>
    <w:p w14:paraId="1BC731F7" w14:textId="77777777" w:rsidR="00897DF9" w:rsidRDefault="00000000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  <w:b/>
          <w:bCs/>
        </w:rPr>
        <w:t>Informação falsa</w:t>
      </w:r>
      <w:r>
        <w:rPr>
          <w:rFonts w:ascii="Acumin Pro" w:eastAsia="Acumin Pro" w:hAnsi="Acumin Pro" w:cs="Acumin Pro"/>
        </w:rPr>
        <w:t xml:space="preserve"> é o compartilhamento de informações incorretas sem a intenção de enganar ou causar dano.</w:t>
      </w:r>
    </w:p>
    <w:p w14:paraId="1BC731F8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200" w:line="249" w:lineRule="auto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231F20"/>
        </w:rPr>
        <w:t>O Serviço de Inteligência de Segurança da Nova Zelândia (NZSIS) define desinformação como informação intencionalmente falsa ou enganosa divulgada com a intenção de causar danos ou alcançar um objetivo mais amplo. É frequentemente difundida online ou nas redes sociais, mas também pode aparecer na televisão, rádio ou nas notícias, incluindo jornais.</w:t>
      </w:r>
    </w:p>
    <w:p w14:paraId="1BC731F9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200" w:line="249" w:lineRule="auto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231F20"/>
        </w:rPr>
        <w:t>Estados estrangeiros e seus representantes podem usar a desinformação como parte da interferência estrangeira para influenciar e enganar pessoas e comunidades de formas prejudiciais.</w:t>
      </w:r>
    </w:p>
    <w:p w14:paraId="1BC731FA" w14:textId="77777777" w:rsidR="00897DF9" w:rsidRDefault="00000000">
      <w:pPr>
        <w:pStyle w:val="Heading2"/>
        <w:spacing w:before="360"/>
        <w:ind w:left="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  <w:color w:val="391335"/>
        </w:rPr>
        <w:t>Como a desinformação pode se espalhar</w:t>
      </w:r>
    </w:p>
    <w:p w14:paraId="1BC731FB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200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231F20"/>
        </w:rPr>
        <w:t>A desinformação pode se espalhar de várias formas, incluindo:</w:t>
      </w:r>
    </w:p>
    <w:p w14:paraId="1BC731FC" w14:textId="77777777" w:rsidR="00897DF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b/>
          <w:bCs/>
          <w:color w:val="231F20"/>
        </w:rPr>
        <w:t xml:space="preserve">Aplicativos de mensagens e redes </w:t>
      </w:r>
      <w:r>
        <w:rPr>
          <w:rFonts w:ascii="Acumin Pro" w:eastAsia="Acumin Pro" w:hAnsi="Acumin Pro" w:cs="Acumin Pro"/>
          <w:color w:val="231F20"/>
        </w:rPr>
        <w:t>comunitárias, onde a informação é frequentemente encaminhada entre contatos em quem as pessoas confiam.</w:t>
      </w:r>
    </w:p>
    <w:p w14:paraId="1BC731FD" w14:textId="77777777" w:rsidR="00897DF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b/>
          <w:bCs/>
          <w:color w:val="231F20"/>
        </w:rPr>
        <w:t>Conteúdo compartilhado em comunidades ou grupos de interesse</w:t>
      </w:r>
      <w:r>
        <w:rPr>
          <w:rFonts w:ascii="Acumin Pro" w:eastAsia="Acumin Pro" w:hAnsi="Acumin Pro" w:cs="Acumin Pro"/>
          <w:color w:val="231F20"/>
        </w:rPr>
        <w:t>, em que as pessoas podem confiar mais por vir de fontes conhecidas ou estar em uma língua que compreendem.</w:t>
      </w:r>
    </w:p>
    <w:p w14:paraId="1BC731FE" w14:textId="77777777" w:rsidR="00897DF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b/>
          <w:bCs/>
          <w:color w:val="231F20"/>
        </w:rPr>
        <w:t>Informação proveniente de mídia ou fontes fora da Nova Zelândia</w:t>
      </w:r>
      <w:r>
        <w:rPr>
          <w:rFonts w:ascii="Acumin Pro" w:eastAsia="Acumin Pro" w:hAnsi="Acumin Pro" w:cs="Acumin Pro"/>
          <w:color w:val="231F20"/>
        </w:rPr>
        <w:t xml:space="preserve"> que podem não estar alinhadas com as mídias ou contextos neozelandeses.</w:t>
      </w:r>
    </w:p>
    <w:p w14:paraId="1BC731FF" w14:textId="77777777" w:rsidR="00897DF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b/>
          <w:bCs/>
          <w:color w:val="231F20"/>
        </w:rPr>
        <w:t>As plataformas de redes sociais</w:t>
      </w:r>
      <w:r>
        <w:rPr>
          <w:rFonts w:ascii="Acumin Pro" w:eastAsia="Acumin Pro" w:hAnsi="Acumin Pro" w:cs="Acumin Pro"/>
          <w:color w:val="231F20"/>
        </w:rPr>
        <w:t xml:space="preserve"> podem espalhar desinformação rapidamente, especialmente conteúdos de formato curto como vídeos do TikTok, reels do Instagram ou threads do Twitter/X.</w:t>
      </w:r>
    </w:p>
    <w:p w14:paraId="1BC73200" w14:textId="77777777" w:rsidR="00897DF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b/>
          <w:bCs/>
          <w:color w:val="231F20"/>
        </w:rPr>
        <w:t xml:space="preserve"> Influenciadores e micro-influenciadores</w:t>
      </w:r>
      <w:r>
        <w:rPr>
          <w:rFonts w:ascii="Acumin Pro" w:eastAsia="Acumin Pro" w:hAnsi="Acumin Pro" w:cs="Acumin Pro"/>
          <w:color w:val="231F20"/>
        </w:rPr>
        <w:t xml:space="preserve"> podem espalhar desinformação devido ao seu alcance ou a confiança que inspiram em seu público.</w:t>
      </w:r>
    </w:p>
    <w:p w14:paraId="1BC73201" w14:textId="77777777" w:rsidR="00897DF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b/>
          <w:bCs/>
          <w:color w:val="231F20"/>
        </w:rPr>
        <w:t>Os mecanismos de busca e as recomendações</w:t>
      </w:r>
      <w:r>
        <w:rPr>
          <w:rFonts w:ascii="Acumin Pro" w:eastAsia="Acumin Pro" w:hAnsi="Acumin Pro" w:cs="Acumin Pro"/>
          <w:color w:val="231F20"/>
        </w:rPr>
        <w:t xml:space="preserve"> das plataformas podem mostrar desinformação aos utilizadores, mesmo quando não a procuram.</w:t>
      </w:r>
    </w:p>
    <w:p w14:paraId="1BC73202" w14:textId="77777777" w:rsidR="00897DF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Compartilhamento offline</w:t>
      </w:r>
      <w:r>
        <w:rPr>
          <w:rFonts w:ascii="Acumin Pro" w:eastAsia="Acumin Pro" w:hAnsi="Acumin Pro" w:cs="Acumin Pro"/>
          <w:color w:val="231F20"/>
        </w:rPr>
        <w:t>, como panfletos impressos, cartazes, boca a boca em locais de trabalho, escolas ou comunidades.</w:t>
      </w:r>
      <w:r>
        <w:br w:type="page"/>
      </w:r>
    </w:p>
    <w:p w14:paraId="1BC73203" w14:textId="77777777" w:rsidR="00897DF9" w:rsidRDefault="00000000">
      <w:pPr>
        <w:pStyle w:val="Heading2"/>
        <w:ind w:left="0"/>
        <w:rPr>
          <w:rFonts w:ascii="Acumin Pro" w:eastAsia="Acumin Pro" w:hAnsi="Acumin Pro" w:cs="Acumin Pro"/>
          <w:color w:val="391335"/>
        </w:rPr>
      </w:pPr>
      <w:r>
        <w:rPr>
          <w:rFonts w:ascii="Acumin Pro" w:eastAsia="Acumin Pro" w:hAnsi="Acumin Pro" w:cs="Acumin Pro"/>
          <w:color w:val="391335"/>
        </w:rPr>
        <w:lastRenderedPageBreak/>
        <w:t>Tipos de desinformação</w:t>
      </w:r>
    </w:p>
    <w:p w14:paraId="1BC73204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200" w:line="249" w:lineRule="auto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231F20"/>
        </w:rPr>
        <w:t xml:space="preserve">Estados estrangeiros podem usar a desinformação como parte da interferência estrangeira. Aqui estão alguns exemplos de conteúdos que podem ser usados para </w:t>
      </w:r>
      <w:r>
        <w:rPr>
          <w:rFonts w:ascii="Acumin Pro" w:eastAsia="Acumin Pro" w:hAnsi="Acumin Pro" w:cs="Acumin Pro"/>
          <w:b/>
          <w:bCs/>
          <w:color w:val="231F20"/>
        </w:rPr>
        <w:t>enganar deliberadamente as pessoas</w:t>
      </w:r>
      <w:r>
        <w:rPr>
          <w:rFonts w:ascii="Acumin Pro" w:eastAsia="Acumin Pro" w:hAnsi="Acumin Pro" w:cs="Acumin Pro"/>
          <w:color w:val="231F20"/>
        </w:rPr>
        <w:t>:</w:t>
      </w:r>
    </w:p>
    <w:p w14:paraId="1BC73205" w14:textId="77777777" w:rsidR="00897D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 xml:space="preserve">Conteúdo viral </w:t>
      </w:r>
      <w:r>
        <w:rPr>
          <w:rFonts w:ascii="Acumin Pro" w:eastAsia="Acumin Pro" w:hAnsi="Acumin Pro" w:cs="Acumin Pro"/>
          <w:color w:val="231F20"/>
        </w:rPr>
        <w:t>enganoso: Conteúdo online deliberadamente concebido para atrair atenção e fazer as pessoas clicarem num link, muitas vezes usando afirmações enganosas ou exageradas.</w:t>
      </w:r>
    </w:p>
    <w:p w14:paraId="1BC73206" w14:textId="77777777" w:rsidR="00897D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 xml:space="preserve">Manchetes enganosas, exageradas ou </w:t>
      </w:r>
      <w:r>
        <w:rPr>
          <w:rFonts w:ascii="Acumin Pro" w:eastAsia="Acumin Pro" w:hAnsi="Acumin Pro" w:cs="Acumin Pro"/>
          <w:color w:val="231F20"/>
        </w:rPr>
        <w:t>falsas: Manchetes que distorcem, exageram ou deturpam deliberadamente a informação para enganar as pessoas.</w:t>
      </w:r>
    </w:p>
    <w:p w14:paraId="1BC73207" w14:textId="77777777" w:rsidR="00897D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 xml:space="preserve">Jornalismo deliberadamente pobre ou </w:t>
      </w:r>
      <w:r>
        <w:rPr>
          <w:rFonts w:ascii="Acumin Pro" w:eastAsia="Acumin Pro" w:hAnsi="Acumin Pro" w:cs="Acumin Pro"/>
          <w:color w:val="231F20"/>
        </w:rPr>
        <w:t>manipulado: Artigos apresentados como jornalismo confiável, mas que intencionalmente carecem de investigação, evidências ou verificação adequada dos fatos.</w:t>
      </w:r>
    </w:p>
    <w:p w14:paraId="1BC73208" w14:textId="77777777" w:rsidR="00897D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Informações falsas para prejudicar reputações</w:t>
      </w:r>
      <w:r>
        <w:rPr>
          <w:rFonts w:ascii="Acumin Pro" w:eastAsia="Acumin Pro" w:hAnsi="Acumin Pro" w:cs="Acumin Pro"/>
          <w:color w:val="231F20"/>
        </w:rPr>
        <w:t>: Conteúdo deliberadamente concebido para afetar negativamente a reputação de uma pessoa ou para promover campanhas difamatórias, muitas vezes visando indivíduos que se manifestam criticamente contra um estado estrangeiro.</w:t>
      </w:r>
    </w:p>
    <w:p w14:paraId="1BC73209" w14:textId="77777777" w:rsidR="00897D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Fatos fabricados ou manipulados</w:t>
      </w:r>
      <w:r>
        <w:rPr>
          <w:rFonts w:ascii="Acumin Pro" w:eastAsia="Acumin Pro" w:hAnsi="Acumin Pro" w:cs="Acumin Pro"/>
          <w:color w:val="231F20"/>
        </w:rPr>
        <w:t>: Detalhes falsos, como cronologias, locais, nomes ou fontes inventados, incluídos intencionalmente para enganar e ludibriar as pessoas.</w:t>
      </w:r>
    </w:p>
    <w:p w14:paraId="1BC7320A" w14:textId="77777777" w:rsidR="00897D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Fotos e vídeos falsos ou alterados</w:t>
      </w:r>
      <w:r>
        <w:rPr>
          <w:rFonts w:ascii="Acumin Pro" w:eastAsia="Acumin Pro" w:hAnsi="Acumin Pro" w:cs="Acumin Pro"/>
          <w:color w:val="231F20"/>
        </w:rPr>
        <w:t>: Imagens ou vídeos criados ou manipulados digitalmente (inclusive com o uso de inteligência artificial) para enganar intencionalmente os expectadores.</w:t>
      </w:r>
    </w:p>
    <w:p w14:paraId="1BC7320B" w14:textId="77777777" w:rsidR="00897D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Amplificação coordenada</w:t>
      </w:r>
      <w:r>
        <w:rPr>
          <w:rFonts w:ascii="Acumin Pro" w:eastAsia="Acumin Pro" w:hAnsi="Acumin Pro" w:cs="Acumin Pro"/>
          <w:color w:val="231F20"/>
        </w:rPr>
        <w:t>: Conteúdo deliberadamente enganoso sendo amplamente compartilhado por múltiplas contas, bots ou sites para parecer mais confiável ou popular do que realmente é.</w:t>
      </w:r>
    </w:p>
    <w:p w14:paraId="1BC7320C" w14:textId="77777777" w:rsidR="00897D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Mídia ligada ao estado ou afiliações não divulgadas</w:t>
      </w:r>
      <w:r>
        <w:rPr>
          <w:rFonts w:ascii="Acumin Pro" w:eastAsia="Acumin Pro" w:hAnsi="Acumin Pro" w:cs="Acumin Pro"/>
          <w:color w:val="231F20"/>
        </w:rPr>
        <w:t>: Conteúdo produzido por veículos de comunicação, sites ou contas de redes sociais que se apresentam como independentes, mas estão ligados a governos estrangeiros.</w:t>
      </w:r>
    </w:p>
    <w:p w14:paraId="1BC7320D" w14:textId="77777777" w:rsidR="00897D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Sátira ou paródia usadas indevidamente como desinformação.</w:t>
      </w:r>
      <w:r>
        <w:rPr>
          <w:rFonts w:ascii="Acumin Pro" w:eastAsia="Acumin Pro" w:hAnsi="Acumin Pro" w:cs="Acumin Pro"/>
          <w:color w:val="231F20"/>
        </w:rPr>
        <w:t>: Conteúdo satírico ou paródico usado para enganar deliberadamente e influenciar a opinião das pessoas, às vezes como parte de campanhas coordenadas de desinformação.</w:t>
      </w:r>
      <w:r>
        <w:br w:type="page"/>
      </w:r>
    </w:p>
    <w:p w14:paraId="1BC7320E" w14:textId="77777777" w:rsidR="00897DF9" w:rsidRDefault="00000000">
      <w:pPr>
        <w:pStyle w:val="Heading2"/>
        <w:ind w:left="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  <w:color w:val="391335"/>
        </w:rPr>
        <w:lastRenderedPageBreak/>
        <w:t>Refletir sobre o que você vê</w:t>
      </w:r>
    </w:p>
    <w:p w14:paraId="1BC7320F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360"/>
        <w:rPr>
          <w:rFonts w:ascii="Acumin Pro" w:eastAsia="Acumin Pro" w:hAnsi="Acumin Pro" w:cs="Acumin Pro"/>
          <w:b/>
          <w:bCs/>
          <w:color w:val="000000"/>
        </w:rPr>
      </w:pPr>
      <w:r>
        <w:rPr>
          <w:rFonts w:ascii="Acumin Pro" w:eastAsia="Acumin Pro" w:hAnsi="Acumin Pro" w:cs="Acumin Pro"/>
          <w:b/>
          <w:bCs/>
          <w:color w:val="231F20"/>
        </w:rPr>
        <w:t>Verificar:</w:t>
      </w:r>
    </w:p>
    <w:p w14:paraId="1BC73210" w14:textId="77777777" w:rsidR="00897D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Se a informação provém de uma fonte confiável</w:t>
      </w:r>
      <w:r>
        <w:rPr>
          <w:rFonts w:ascii="Acumin Pro" w:eastAsia="Acumin Pro" w:hAnsi="Acumin Pro" w:cs="Acumin Pro"/>
          <w:color w:val="231F20"/>
        </w:rPr>
        <w:t xml:space="preserve"> e se outros sites de notícias dignos de confiança divulgam a mesma informação. Confira o recurso da Netsafe </w:t>
      </w:r>
      <w:hyperlink r:id="rId7">
        <w:r>
          <w:rPr>
            <w:rFonts w:ascii="Acumin Pro" w:eastAsia="Acumin Pro" w:hAnsi="Acumin Pro" w:cs="Acumin Pro"/>
            <w:color w:val="0000FF"/>
            <w:u w:val="single"/>
          </w:rPr>
          <w:t>"Como identificar notícias falsas"</w:t>
        </w:r>
      </w:hyperlink>
      <w:r>
        <w:rPr>
          <w:rFonts w:ascii="Acumin Pro" w:eastAsia="Acumin Pro" w:hAnsi="Acumin Pro" w:cs="Acumin Pro"/>
          <w:color w:val="231F20"/>
        </w:rPr>
        <w:t xml:space="preserve"> para saber mais.</w:t>
      </w:r>
    </w:p>
    <w:p w14:paraId="1BC73211" w14:textId="77777777" w:rsidR="00897D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4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Onde a história ou informação original apareceu</w:t>
      </w:r>
      <w:r>
        <w:rPr>
          <w:rFonts w:ascii="Acumin Pro" w:eastAsia="Acumin Pro" w:hAnsi="Acumin Pro" w:cs="Acumin Pro"/>
          <w:color w:val="231F20"/>
        </w:rPr>
        <w:t xml:space="preserve"> e quem a está promovendo ou compartilhando.</w:t>
      </w:r>
    </w:p>
    <w:p w14:paraId="1BC73212" w14:textId="77777777" w:rsidR="00897D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Quem é o autor e quais é a sua formação, propósito ou interesses</w:t>
      </w:r>
      <w:r>
        <w:rPr>
          <w:rFonts w:ascii="Acumin Pro" w:eastAsia="Acumin Pro" w:hAnsi="Acumin Pro" w:cs="Acumin Pro"/>
          <w:color w:val="231F20"/>
        </w:rPr>
        <w:t xml:space="preserve"> (por exemplo, se ele está tentando informar, persuadir, promover um ponto de vista específico ou influenciar a opinião das pessoas).</w:t>
      </w:r>
    </w:p>
    <w:p w14:paraId="1BC73213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360"/>
        <w:rPr>
          <w:rFonts w:ascii="Acumin Pro" w:eastAsia="Acumin Pro" w:hAnsi="Acumin Pro" w:cs="Acumin Pro"/>
          <w:b/>
          <w:bCs/>
          <w:color w:val="000000"/>
        </w:rPr>
      </w:pPr>
      <w:r>
        <w:rPr>
          <w:rFonts w:ascii="Acumin Pro" w:eastAsia="Acumin Pro" w:hAnsi="Acumin Pro" w:cs="Acumin Pro"/>
          <w:b/>
          <w:bCs/>
          <w:color w:val="231F20"/>
        </w:rPr>
        <w:t>Considerar:</w:t>
      </w:r>
    </w:p>
    <w:p w14:paraId="1BC73214" w14:textId="77777777" w:rsidR="00897DF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Fazer uma pausa</w:t>
      </w:r>
      <w:r>
        <w:rPr>
          <w:rFonts w:ascii="Acumin Pro" w:eastAsia="Acumin Pro" w:hAnsi="Acumin Pro" w:cs="Acumin Pro"/>
          <w:color w:val="231F20"/>
        </w:rPr>
        <w:t xml:space="preserve"> quando o conteúdo provoca uma forte reação emocional (por exemplo, urgência, medo ou indignação).</w:t>
      </w:r>
    </w:p>
    <w:p w14:paraId="1BC73215" w14:textId="77777777" w:rsidR="00897DF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Questionar por qual motivo</w:t>
      </w:r>
      <w:r>
        <w:rPr>
          <w:rFonts w:ascii="Acumin Pro" w:eastAsia="Acumin Pro" w:hAnsi="Acumin Pro" w:cs="Acumin Pro"/>
          <w:color w:val="231F20"/>
        </w:rPr>
        <w:t xml:space="preserve"> o conteúdo pode ter sido criado ou compartilhado (por exemplo, para influenciar opiniões, gerar cliques ou estimular ações).</w:t>
      </w:r>
    </w:p>
    <w:p w14:paraId="1BC73216" w14:textId="77777777" w:rsidR="00897DF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Refletir sobre quem se beneficia</w:t>
      </w:r>
      <w:r>
        <w:rPr>
          <w:rFonts w:ascii="Acumin Pro" w:eastAsia="Acumin Pro" w:hAnsi="Acumin Pro" w:cs="Acumin Pro"/>
          <w:color w:val="231F20"/>
        </w:rPr>
        <w:t xml:space="preserve"> se a informação for aceita como verdadeira ou compartilhada.</w:t>
      </w:r>
    </w:p>
    <w:p w14:paraId="1BC73217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200" w:line="285" w:lineRule="auto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</w:rPr>
        <w:t>Por exemplo, se você vir uma publicação dizendo "compartilhe isso agora antes que seja removido", isso deve fazer você parar e pensar sobre o motivo de ela estar sendo compartilhada.</w:t>
      </w:r>
    </w:p>
    <w:p w14:paraId="1BC73218" w14:textId="77777777" w:rsidR="00897DF9" w:rsidRDefault="00000000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  <w:color w:val="391335"/>
        </w:rPr>
        <w:t>O que fazer quando você não tem certeza</w:t>
      </w:r>
    </w:p>
    <w:p w14:paraId="1BC73219" w14:textId="77777777" w:rsidR="00897DF9" w:rsidRDefault="00000000">
      <w:pPr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  <w:between w:val="nil"/>
        </w:pBdr>
        <w:shd w:val="clear" w:color="auto" w:fill="FFE094"/>
        <w:spacing w:before="200" w:after="200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231F20"/>
        </w:rPr>
        <w:t>É importante lembrar que não há problema em não saber imediatamente se algo é desinformação.</w:t>
      </w:r>
      <w:r>
        <w:rPr>
          <w:rFonts w:ascii="Acumin Pro" w:eastAsia="Acumin Pro" w:hAnsi="Acumin Pro" w:cs="Acumin Pro"/>
          <w:color w:val="000000"/>
        </w:rPr>
        <w:t xml:space="preserve"> </w:t>
      </w:r>
    </w:p>
    <w:p w14:paraId="1BC7321A" w14:textId="77777777" w:rsidR="00897DF9" w:rsidRDefault="00000000">
      <w:pPr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  <w:between w:val="nil"/>
        </w:pBdr>
        <w:shd w:val="clear" w:color="auto" w:fill="FFE094"/>
        <w:spacing w:before="200" w:after="200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231F20"/>
        </w:rPr>
        <w:t>Dedicar um tempo antes de compartilhar informações lhe dá a oportunidade de refletir sobre a veracidade delas, verificar os fatos e evitar a disseminação de informações imprecisas.</w:t>
      </w:r>
    </w:p>
    <w:p w14:paraId="1BC7321B" w14:textId="77777777" w:rsidR="00897DF9" w:rsidRDefault="00000000">
      <w:pPr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  <w:between w:val="nil"/>
        </w:pBdr>
        <w:shd w:val="clear" w:color="auto" w:fill="FFE094"/>
        <w:spacing w:before="200" w:after="200" w:line="249" w:lineRule="auto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</w:rPr>
        <w:t>Você também pode conversar com pessoas de confiança, como familiares ou amigos, para saber o que eles pensam sobre a informação.</w:t>
      </w:r>
      <w:r>
        <w:br w:type="page"/>
      </w:r>
    </w:p>
    <w:p w14:paraId="1BC7321C" w14:textId="77777777" w:rsidR="00897DF9" w:rsidRDefault="00000000">
      <w:pPr>
        <w:pStyle w:val="Heading2"/>
        <w:spacing w:before="360"/>
        <w:ind w:left="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  <w:color w:val="391335"/>
        </w:rPr>
        <w:lastRenderedPageBreak/>
        <w:t>Desinformação utilizada por estados estrangeiros e seus representantes.</w:t>
      </w:r>
    </w:p>
    <w:p w14:paraId="1BC7321D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200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231F20"/>
        </w:rPr>
        <w:t xml:space="preserve">A seguir, algumas características usadas deliberadamente em </w:t>
      </w:r>
      <w:r>
        <w:rPr>
          <w:rFonts w:ascii="Acumin Pro" w:eastAsia="Acumin Pro" w:hAnsi="Acumin Pro" w:cs="Acumin Pro"/>
          <w:b/>
          <w:bCs/>
          <w:color w:val="231F20"/>
        </w:rPr>
        <w:t>campanhas de desinformação por estados estrangeiros e seus representantes.</w:t>
      </w:r>
      <w:r>
        <w:rPr>
          <w:rFonts w:ascii="Acumin Pro" w:eastAsia="Acumin Pro" w:hAnsi="Acumin Pro" w:cs="Acumin Pro"/>
          <w:color w:val="231F20"/>
        </w:rPr>
        <w:t>:</w:t>
      </w:r>
    </w:p>
    <w:p w14:paraId="1BC7321E" w14:textId="77777777" w:rsidR="00897DF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Provocam emoções fortes</w:t>
      </w:r>
      <w:r>
        <w:rPr>
          <w:rFonts w:ascii="Acumin Pro" w:eastAsia="Acumin Pro" w:hAnsi="Acumin Pro" w:cs="Acumin Pro"/>
          <w:color w:val="231F20"/>
        </w:rPr>
        <w:t>, omitindo deliberadamente fatos ou evidências importantes para desencadear raiva, medo ou indignação.</w:t>
      </w:r>
    </w:p>
    <w:p w14:paraId="1BC7321F" w14:textId="77777777" w:rsidR="00897DF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Apresentam informações de forma enganosa ou exagerada</w:t>
      </w:r>
      <w:r>
        <w:rPr>
          <w:rFonts w:ascii="Acumin Pro" w:eastAsia="Acumin Pro" w:hAnsi="Acumin Pro" w:cs="Acumin Pro"/>
          <w:color w:val="231F20"/>
        </w:rPr>
        <w:t xml:space="preserve"> para provocar uma reação ou disseminá-las rapidamente.</w:t>
      </w:r>
    </w:p>
    <w:p w14:paraId="1BC73220" w14:textId="77777777" w:rsidR="00897DF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Usam linguagem carregada de emoção</w:t>
      </w:r>
      <w:r>
        <w:rPr>
          <w:rFonts w:ascii="Acumin Pro" w:eastAsia="Acumin Pro" w:hAnsi="Acumin Pro" w:cs="Acumin Pro"/>
          <w:color w:val="231F20"/>
        </w:rPr>
        <w:t xml:space="preserve"> para provocar reações nos leitores em vez de informá-los.</w:t>
      </w:r>
    </w:p>
    <w:p w14:paraId="1BC73221" w14:textId="77777777" w:rsidR="00897DF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Demonstram parcialidade evidente ou recorrer a estereótipos</w:t>
      </w:r>
      <w:r>
        <w:rPr>
          <w:rFonts w:ascii="Acumin Pro" w:eastAsia="Acumin Pro" w:hAnsi="Acumin Pro" w:cs="Acumin Pro"/>
          <w:color w:val="231F20"/>
        </w:rPr>
        <w:t xml:space="preserve"> para influenciar a forma como as pessoas pensam sobre um assunto ou grupo.</w:t>
      </w:r>
    </w:p>
    <w:p w14:paraId="1BC73222" w14:textId="77777777" w:rsidR="00897DF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Excluem diferentes perspectivas ou pontos de vista</w:t>
      </w:r>
      <w:r>
        <w:rPr>
          <w:rFonts w:ascii="Acumin Pro" w:eastAsia="Acumin Pro" w:hAnsi="Acumin Pro" w:cs="Acumin Pro"/>
          <w:color w:val="231F20"/>
        </w:rPr>
        <w:t xml:space="preserve"> para apresentar apenas um lado da história.</w:t>
      </w:r>
    </w:p>
    <w:p w14:paraId="1BC73223" w14:textId="77777777" w:rsidR="00897DF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Incluem informações incorretas, manipuladas ou desatualizadas</w:t>
      </w:r>
      <w:r>
        <w:rPr>
          <w:rFonts w:ascii="Acumin Pro" w:eastAsia="Acumin Pro" w:hAnsi="Acumin Pro" w:cs="Acumin Pro"/>
          <w:color w:val="231F20"/>
        </w:rPr>
        <w:t>, apresentadas como se fossem verdadeiras.</w:t>
      </w:r>
    </w:p>
    <w:p w14:paraId="1BC73224" w14:textId="77777777" w:rsidR="00897DF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Apresentam erros frequentes de ortografia ou gramática</w:t>
      </w:r>
      <w:r>
        <w:rPr>
          <w:rFonts w:ascii="Acumin Pro" w:eastAsia="Acumin Pro" w:hAnsi="Acumin Pro" w:cs="Acumin Pro"/>
          <w:color w:val="231F20"/>
        </w:rPr>
        <w:t>, o que por vezes pode indicar baixa credibilidade ou conteúdo criado muito rapidamente.</w:t>
      </w:r>
    </w:p>
    <w:p w14:paraId="1BC73225" w14:textId="77777777" w:rsidR="00897DF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Utilizam imagens ou vídeos de baixa qualidade, editados ou fora de contexto</w:t>
      </w:r>
      <w:r>
        <w:rPr>
          <w:rFonts w:ascii="Acumin Pro" w:eastAsia="Acumin Pro" w:hAnsi="Acumin Pro" w:cs="Acumin Pro"/>
          <w:color w:val="231F20"/>
        </w:rPr>
        <w:t xml:space="preserve"> para divulgar informações enganosas.</w:t>
      </w:r>
    </w:p>
    <w:p w14:paraId="1BC73226" w14:textId="77777777" w:rsidR="00897DF9" w:rsidRDefault="00000000">
      <w:pPr>
        <w:pStyle w:val="Heading2"/>
        <w:spacing w:before="360"/>
        <w:ind w:left="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  <w:color w:val="391335"/>
        </w:rPr>
        <w:t>Assuma o controle do seu feed de redes sociais.</w:t>
      </w:r>
    </w:p>
    <w:p w14:paraId="1BC73227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200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231F20"/>
        </w:rPr>
        <w:t>Se uma conta de rede social estiver compartilhando informações falsas ou enganosas:</w:t>
      </w:r>
    </w:p>
    <w:p w14:paraId="1BC73228" w14:textId="77777777" w:rsidR="00897DF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Bloqueie ou deixe de seguir</w:t>
      </w:r>
      <w:r>
        <w:rPr>
          <w:rFonts w:ascii="Acumin Pro" w:eastAsia="Acumin Pro" w:hAnsi="Acumin Pro" w:cs="Acumin Pro"/>
          <w:color w:val="231F20"/>
        </w:rPr>
        <w:t xml:space="preserve"> a conta para impedir que mais conteúdo semelhante seja publicado.</w:t>
      </w:r>
    </w:p>
    <w:p w14:paraId="1BC73229" w14:textId="77777777" w:rsidR="00897DF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Denuncie a conta</w:t>
      </w:r>
      <w:r>
        <w:rPr>
          <w:rFonts w:ascii="Acumin Pro" w:eastAsia="Acumin Pro" w:hAnsi="Acumin Pro" w:cs="Acumin Pro"/>
          <w:color w:val="231F20"/>
        </w:rPr>
        <w:t xml:space="preserve"> na plataforma de rede social para ajudar a reduzir o conteúdo prejudicial online.</w:t>
      </w:r>
      <w:r>
        <w:br w:type="page"/>
      </w:r>
    </w:p>
    <w:p w14:paraId="1BC7322A" w14:textId="77777777" w:rsidR="00897DF9" w:rsidRDefault="00000000">
      <w:pPr>
        <w:pStyle w:val="Heading2"/>
        <w:spacing w:before="360"/>
        <w:ind w:left="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  <w:color w:val="391335"/>
        </w:rPr>
        <w:lastRenderedPageBreak/>
        <w:t>Como denunciar a desinformação</w:t>
      </w:r>
    </w:p>
    <w:p w14:paraId="1BC7322B" w14:textId="77777777" w:rsidR="00897DF9" w:rsidRDefault="00000000">
      <w:pPr>
        <w:pBdr>
          <w:top w:val="nil"/>
          <w:left w:val="nil"/>
          <w:bottom w:val="nil"/>
          <w:right w:val="nil"/>
          <w:between w:val="nil"/>
        </w:pBdr>
        <w:spacing w:before="200" w:after="200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231F20"/>
        </w:rPr>
        <w:t>Você pode denunciar conteúdo online prejudicial ou falso:</w:t>
      </w:r>
    </w:p>
    <w:p w14:paraId="1BC7322C" w14:textId="77777777" w:rsidR="00897DF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</w:rPr>
        <w:t xml:space="preserve">Denuncie desinformação e outros conteúdos prejudiciais </w:t>
      </w:r>
      <w:hyperlink r:id="rId8">
        <w:r>
          <w:rPr>
            <w:rFonts w:ascii="Acumin Pro" w:eastAsia="Acumin Pro" w:hAnsi="Acumin Pro" w:cs="Acumin Pro"/>
            <w:color w:val="0000FF"/>
            <w:u w:val="single"/>
          </w:rPr>
          <w:t>no site da Netsafe</w:t>
        </w:r>
      </w:hyperlink>
      <w:r>
        <w:rPr>
          <w:rFonts w:ascii="Acumin Pro" w:eastAsia="Acumin Pro" w:hAnsi="Acumin Pro" w:cs="Acumin Pro"/>
          <w:color w:val="231F20"/>
        </w:rPr>
        <w:t>.</w:t>
      </w:r>
    </w:p>
    <w:p w14:paraId="1BC7322D" w14:textId="77777777" w:rsidR="00897DF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</w:rPr>
        <w:t xml:space="preserve">Se o conteúdo da mídia for enganoso ou violar as regras de transmissão, apresente uma queixa ao </w:t>
      </w:r>
      <w:hyperlink r:id="rId9">
        <w:r>
          <w:rPr>
            <w:rFonts w:ascii="Acumin Pro" w:eastAsia="Acumin Pro" w:hAnsi="Acumin Pro" w:cs="Acumin Pro"/>
            <w:color w:val="0000FF"/>
            <w:u w:val="single"/>
          </w:rPr>
          <w:t>Conselho de Mídia da Nova Zelândia (New Zealand Media Council)</w:t>
        </w:r>
      </w:hyperlink>
      <w:r>
        <w:rPr>
          <w:rFonts w:ascii="Acumin Pro" w:eastAsia="Acumin Pro" w:hAnsi="Acumin Pro" w:cs="Acumin Pro"/>
          <w:color w:val="231F20"/>
        </w:rPr>
        <w:t xml:space="preserve">ou </w:t>
      </w:r>
      <w:hyperlink r:id="rId10">
        <w:r>
          <w:rPr>
            <w:rFonts w:ascii="Acumin Pro" w:eastAsia="Acumin Pro" w:hAnsi="Acumin Pro" w:cs="Acumin Pro"/>
            <w:color w:val="0000FF"/>
            <w:u w:val="single"/>
          </w:rPr>
          <w:t>à Autoridade de Normas de Publicidade (Advertising Standards Authority</w:t>
        </w:r>
      </w:hyperlink>
      <w:r>
        <w:rPr>
          <w:rFonts w:ascii="Acumin Pro" w:eastAsia="Acumin Pro" w:hAnsi="Acumin Pro" w:cs="Acumin Pro"/>
          <w:color w:val="231F20"/>
        </w:rPr>
        <w:t>).</w:t>
      </w:r>
    </w:p>
    <w:p w14:paraId="1BC7322E" w14:textId="77777777" w:rsidR="00897DF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</w:rPr>
        <w:t xml:space="preserve">Denuncie desinformação nas redes sociais </w:t>
      </w:r>
      <w:r>
        <w:rPr>
          <w:rFonts w:ascii="Acumin Pro" w:eastAsia="Acumin Pro" w:hAnsi="Acumin Pro" w:cs="Acumin Pro"/>
          <w:b/>
          <w:bCs/>
          <w:color w:val="231F20"/>
        </w:rPr>
        <w:t>usando os recursos de denúncia da plataforma</w:t>
      </w:r>
      <w:r>
        <w:rPr>
          <w:rFonts w:ascii="Acumin Pro" w:eastAsia="Acumin Pro" w:hAnsi="Acumin Pro" w:cs="Acumin Pro"/>
          <w:color w:val="231F20"/>
        </w:rPr>
        <w:t>.</w:t>
      </w:r>
    </w:p>
    <w:p w14:paraId="1BC7322F" w14:textId="77777777" w:rsidR="00897DF9" w:rsidRDefault="00000000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 w:cs="Acumin Pro"/>
        </w:rPr>
      </w:pPr>
      <w:r>
        <w:rPr>
          <w:rFonts w:ascii="Acumin Pro" w:eastAsia="Acumin Pro" w:hAnsi="Acumin Pro" w:cs="Acumin Pro"/>
          <w:color w:val="391335"/>
        </w:rPr>
        <w:t>Saiba mais sobre a Netsafe</w:t>
      </w:r>
    </w:p>
    <w:p w14:paraId="1BC73230" w14:textId="77777777" w:rsidR="00897DF9" w:rsidRDefault="00000000">
      <w:pPr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  <w:between w:val="nil"/>
        </w:pBdr>
        <w:shd w:val="clear" w:color="auto" w:fill="FFE094"/>
        <w:spacing w:before="200" w:after="200"/>
        <w:rPr>
          <w:rFonts w:ascii="Acumin Pro" w:eastAsia="Acumin Pro" w:hAnsi="Acumin Pro" w:cs="Acumin Pro"/>
          <w:color w:val="231F20"/>
        </w:rPr>
      </w:pPr>
      <w:hyperlink r:id="rId11">
        <w:r>
          <w:rPr>
            <w:rFonts w:ascii="Acumin Pro" w:eastAsia="Acumin Pro" w:hAnsi="Acumin Pro" w:cs="Acumin Pro"/>
            <w:color w:val="0000FF"/>
            <w:u w:val="single"/>
          </w:rPr>
          <w:t>A Netsafe</w:t>
        </w:r>
      </w:hyperlink>
      <w:r>
        <w:rPr>
          <w:rFonts w:ascii="Acumin Pro" w:eastAsia="Acumin Pro" w:hAnsi="Acumin Pro" w:cs="Acumin Pro"/>
          <w:color w:val="231F20"/>
        </w:rPr>
        <w:t xml:space="preserve"> é uma organização independente e sem fins lucrativos da Nova Zelândia dedicada à segurança online, que oferece apoio, conhecimento especializado e educação em segurança online para pessoas na Nova Zelândia, incluindo: </w:t>
      </w:r>
      <w:hyperlink r:id="rId12">
        <w:r>
          <w:rPr>
            <w:rFonts w:ascii="Acumin Pro" w:eastAsia="Acumin Pro" w:hAnsi="Acumin Pro" w:cs="Acumin Pro"/>
            <w:color w:val="0000FF"/>
            <w:u w:val="single"/>
          </w:rPr>
          <w:t>crianças e jovens</w:t>
        </w:r>
      </w:hyperlink>
      <w:r>
        <w:rPr>
          <w:rFonts w:ascii="Acumin Pro" w:eastAsia="Acumin Pro" w:hAnsi="Acumin Pro" w:cs="Acumin Pro"/>
          <w:color w:val="231F20"/>
        </w:rPr>
        <w:t xml:space="preserve">, </w:t>
      </w:r>
      <w:hyperlink r:id="rId13">
        <w:r>
          <w:rPr>
            <w:rFonts w:ascii="Acumin Pro" w:eastAsia="Acumin Pro" w:hAnsi="Acumin Pro" w:cs="Acumin Pro"/>
            <w:color w:val="0000FF"/>
            <w:u w:val="single"/>
          </w:rPr>
          <w:t>pais e responsáveis</w:t>
        </w:r>
      </w:hyperlink>
      <w:r>
        <w:rPr>
          <w:rFonts w:ascii="Acumin Pro" w:eastAsia="Acumin Pro" w:hAnsi="Acumin Pro" w:cs="Acumin Pro"/>
          <w:color w:val="231F20"/>
        </w:rPr>
        <w:t xml:space="preserve">, </w:t>
      </w:r>
      <w:hyperlink r:id="rId14">
        <w:r>
          <w:rPr>
            <w:rFonts w:ascii="Acumin Pro" w:eastAsia="Acumin Pro" w:hAnsi="Acumin Pro" w:cs="Acumin Pro"/>
            <w:color w:val="0000FF"/>
            <w:u w:val="single"/>
          </w:rPr>
          <w:t>adultos</w:t>
        </w:r>
      </w:hyperlink>
      <w:r>
        <w:rPr>
          <w:rFonts w:ascii="Acumin Pro" w:eastAsia="Acumin Pro" w:hAnsi="Acumin Pro" w:cs="Acumin Pro"/>
          <w:color w:val="231F20"/>
        </w:rPr>
        <w:t xml:space="preserve"> e </w:t>
      </w:r>
      <w:hyperlink r:id="rId15">
        <w:r>
          <w:rPr>
            <w:rFonts w:ascii="Acumin Pro" w:eastAsia="Acumin Pro" w:hAnsi="Acumin Pro" w:cs="Acumin Pro"/>
            <w:color w:val="0000FF"/>
            <w:u w:val="single"/>
          </w:rPr>
          <w:t>idosos</w:t>
        </w:r>
      </w:hyperlink>
      <w:r>
        <w:rPr>
          <w:rFonts w:ascii="Acumin Pro" w:eastAsia="Acumin Pro" w:hAnsi="Acumin Pro" w:cs="Acumin Pro"/>
          <w:color w:val="231F20"/>
        </w:rPr>
        <w:t>.</w:t>
      </w:r>
    </w:p>
    <w:p w14:paraId="1BC73231" w14:textId="77777777" w:rsidR="00897DF9" w:rsidRDefault="00000000">
      <w:pPr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  <w:between w:val="nil"/>
        </w:pBdr>
        <w:shd w:val="clear" w:color="auto" w:fill="FFE094"/>
        <w:spacing w:before="360"/>
        <w:rPr>
          <w:rFonts w:ascii="Acumin Pro" w:eastAsia="Acumin Pro" w:hAnsi="Acumin Pro" w:cs="Acumin Pro"/>
          <w:b/>
          <w:bCs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</w:rPr>
        <w:t>Invasores do Espaço Mental (Headspace invaders)</w:t>
      </w:r>
    </w:p>
    <w:p w14:paraId="1BC73232" w14:textId="77777777" w:rsidR="00897DF9" w:rsidRDefault="00000000">
      <w:pPr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  <w:between w:val="nil"/>
        </w:pBdr>
        <w:shd w:val="clear" w:color="auto" w:fill="FFE094"/>
        <w:spacing w:before="200" w:after="200"/>
        <w:rPr>
          <w:rFonts w:ascii="Acumin Pro" w:eastAsia="Acumin Pro" w:hAnsi="Acumin Pro" w:cs="Acumin Pro"/>
          <w:b/>
          <w:bCs/>
          <w:color w:val="391335"/>
        </w:rPr>
      </w:pPr>
      <w:hyperlink r:id="rId16">
        <w:r>
          <w:rPr>
            <w:rFonts w:ascii="Acumin Pro" w:eastAsia="Acumin Pro" w:hAnsi="Acumin Pro" w:cs="Acumin Pro"/>
            <w:color w:val="0000FF"/>
            <w:u w:val="single"/>
          </w:rPr>
          <w:t>A Headspace Invaders é uma plataforma interativa</w:t>
        </w:r>
      </w:hyperlink>
      <w:r>
        <w:rPr>
          <w:rFonts w:ascii="Acumin Pro" w:eastAsia="Acumin Pro" w:hAnsi="Acumin Pro" w:cs="Acumin Pro"/>
          <w:color w:val="231F20"/>
        </w:rPr>
        <w:t xml:space="preserve"> que ajuda jovens de 12 a 16 anos a desenvolverem confiança e habilidades de pensamento crítico ao navegarem por conteúdo online, auxiliando-os a reconhecer manipulação, pressão e danos na internet.</w:t>
      </w:r>
    </w:p>
    <w:sectPr w:rsidR="00897DF9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48E6" w14:textId="77777777" w:rsidR="002D30AA" w:rsidRDefault="002D30AA">
      <w:r>
        <w:separator/>
      </w:r>
    </w:p>
  </w:endnote>
  <w:endnote w:type="continuationSeparator" w:id="0">
    <w:p w14:paraId="2DACE406" w14:textId="77777777" w:rsidR="002D30AA" w:rsidRDefault="002D3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AC0013F-4B73-4C25-B7B6-05FA7B5B6A7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7D7A9B5-46A2-45D2-94CD-C3F85644E07D}"/>
    <w:embedBold r:id="rId3" w:fontKey="{3154CBFA-39F3-4928-ACBD-0008EB81FB6F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4" w:fontKey="{8538C777-F13B-4924-97C6-5BB847FD98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1392CDA-F702-443B-A3FD-6B58A0D23512}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6" w:fontKey="{ECD49652-18F6-452A-BD50-C500C2064F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C5669F4-C0F1-4320-A6AE-B46C7D7D25F2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8" w:fontKey="{E3ADD60B-FFAF-483D-85E4-DC0BBA6E4C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73234" w14:textId="6B2313B9" w:rsidR="00897DF9" w:rsidRDefault="00000000">
    <w:pPr>
      <w:spacing w:before="22"/>
      <w:rPr>
        <w:rFonts w:ascii="Acumin Pro" w:eastAsia="Acumin Pro" w:hAnsi="Acumin Pro" w:cs="Acumin Pro"/>
        <w:b/>
        <w:bCs/>
        <w:sz w:val="20"/>
        <w:szCs w:val="20"/>
      </w:rPr>
    </w:pPr>
    <w:r>
      <w:rPr>
        <w:rFonts w:ascii="Acumin Pro" w:eastAsia="Acumin Pro" w:hAnsi="Acumin Pro" w:cs="Acumin Pro"/>
        <w:b/>
        <w:bCs/>
        <w:color w:val="391335"/>
        <w:sz w:val="20"/>
        <w:szCs w:val="20"/>
      </w:rPr>
      <w:t>Desinformação</w:t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</w:rPr>
      <w:tab/>
    </w:r>
    <w:r>
      <w:rPr>
        <w:rFonts w:ascii="Acumin Pro" w:eastAsia="Acumin Pro" w:hAnsi="Acumin Pro" w:cs="Acumin Pro"/>
        <w:sz w:val="20"/>
        <w:szCs w:val="20"/>
      </w:rPr>
      <w:fldChar w:fldCharType="begin"/>
    </w:r>
    <w:r>
      <w:rPr>
        <w:rFonts w:ascii="Acumin Pro" w:eastAsia="Acumin Pro" w:hAnsi="Acumin Pro" w:cs="Acumin Pro"/>
        <w:sz w:val="20"/>
        <w:szCs w:val="20"/>
      </w:rPr>
      <w:instrText>PAGE</w:instrText>
    </w:r>
    <w:r>
      <w:rPr>
        <w:rFonts w:ascii="Acumin Pro" w:eastAsia="Acumin Pro" w:hAnsi="Acumin Pro" w:cs="Acumin Pro"/>
        <w:sz w:val="20"/>
        <w:szCs w:val="20"/>
      </w:rPr>
      <w:fldChar w:fldCharType="separate"/>
    </w:r>
    <w:r w:rsidR="003D4670">
      <w:rPr>
        <w:rFonts w:ascii="Acumin Pro" w:eastAsia="Acumin Pro" w:hAnsi="Acumin Pro" w:cs="Acumin Pro"/>
        <w:noProof/>
        <w:sz w:val="20"/>
        <w:szCs w:val="20"/>
      </w:rPr>
      <w:t>1</w:t>
    </w:r>
    <w:r>
      <w:rPr>
        <w:rFonts w:ascii="Acumin Pro" w:eastAsia="Acumin Pro" w:hAnsi="Acumin Pro" w:cs="Acumin Pro"/>
        <w:sz w:val="20"/>
        <w:szCs w:val="20"/>
      </w:rPr>
      <w:fldChar w:fldCharType="end"/>
    </w:r>
  </w:p>
  <w:p w14:paraId="1BC73235" w14:textId="77777777" w:rsidR="00897DF9" w:rsidRDefault="00897DF9">
    <w:pPr>
      <w:pBdr>
        <w:top w:val="nil"/>
        <w:left w:val="nil"/>
        <w:bottom w:val="nil"/>
        <w:right w:val="nil"/>
        <w:between w:val="nil"/>
      </w:pBdr>
      <w:spacing w:before="1" w:line="14" w:lineRule="auto"/>
      <w:ind w:left="1145"/>
      <w:rPr>
        <w:color w:val="000000"/>
        <w:sz w:val="20"/>
        <w:szCs w:val="20"/>
      </w:rPr>
    </w:pPr>
  </w:p>
  <w:p w14:paraId="1BC73236" w14:textId="77777777" w:rsidR="00897DF9" w:rsidRDefault="00897DF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9AEF0" w14:textId="77777777" w:rsidR="002D30AA" w:rsidRDefault="002D30AA">
      <w:r>
        <w:separator/>
      </w:r>
    </w:p>
  </w:footnote>
  <w:footnote w:type="continuationSeparator" w:id="0">
    <w:p w14:paraId="36D2B0A9" w14:textId="77777777" w:rsidR="002D30AA" w:rsidRDefault="002D3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73233" w14:textId="77777777" w:rsidR="00897DF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BC73237" wp14:editId="1BC73238">
          <wp:simplePos x="0" y="0"/>
          <wp:positionH relativeFrom="column">
            <wp:posOffset>-923924</wp:posOffset>
          </wp:positionH>
          <wp:positionV relativeFrom="paragraph">
            <wp:posOffset>-356869</wp:posOffset>
          </wp:positionV>
          <wp:extent cx="7589520" cy="1544782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BC73239" wp14:editId="1BC7323A">
          <wp:simplePos x="0" y="0"/>
          <wp:positionH relativeFrom="column">
            <wp:posOffset>-227329</wp:posOffset>
          </wp:positionH>
          <wp:positionV relativeFrom="paragraph">
            <wp:posOffset>188595</wp:posOffset>
          </wp:positionV>
          <wp:extent cx="1692056" cy="999937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2056" cy="9999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6A0C"/>
    <w:multiLevelType w:val="multilevel"/>
    <w:tmpl w:val="1B8413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51A1B93"/>
    <w:multiLevelType w:val="multilevel"/>
    <w:tmpl w:val="FEDE4B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5670709"/>
    <w:multiLevelType w:val="multilevel"/>
    <w:tmpl w:val="124AEA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31486D"/>
    <w:multiLevelType w:val="multilevel"/>
    <w:tmpl w:val="91D880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3D34169"/>
    <w:multiLevelType w:val="multilevel"/>
    <w:tmpl w:val="0FEE8F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45D5710"/>
    <w:multiLevelType w:val="multilevel"/>
    <w:tmpl w:val="B1547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5E220EB"/>
    <w:multiLevelType w:val="multilevel"/>
    <w:tmpl w:val="2E5CEB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39371896">
    <w:abstractNumId w:val="4"/>
  </w:num>
  <w:num w:numId="2" w16cid:durableId="2024283496">
    <w:abstractNumId w:val="0"/>
  </w:num>
  <w:num w:numId="3" w16cid:durableId="1669675791">
    <w:abstractNumId w:val="5"/>
  </w:num>
  <w:num w:numId="4" w16cid:durableId="1450661787">
    <w:abstractNumId w:val="1"/>
  </w:num>
  <w:num w:numId="5" w16cid:durableId="907543144">
    <w:abstractNumId w:val="2"/>
  </w:num>
  <w:num w:numId="6" w16cid:durableId="1664813644">
    <w:abstractNumId w:val="6"/>
  </w:num>
  <w:num w:numId="7" w16cid:durableId="1417243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DF9"/>
    <w:rsid w:val="002812F2"/>
    <w:rsid w:val="002D30AA"/>
    <w:rsid w:val="003D4670"/>
    <w:rsid w:val="00897DF9"/>
    <w:rsid w:val="00B2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731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en-NZ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CRFIWEBSITE-145050222-438</_dlc_DocId>
    <_dlc_DocIdUrl xmlns="c78cdbf8-4243-4362-8765-2acd0e03065b">
      <Url>https://azurediagovt.sharepoint.com/sites/EXT-CommunityResiliencetoForeignInterferencewebsite_MEC/_layouts/15/DocIdRedir.aspx?ID=CRFIWEBSITE-145050222-438</Url>
      <Description>CRFIWEBSITE-145050222-438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81969DFD-4B5A-4BA1-B47D-BDC01B54503F}"/>
</file>

<file path=customXml/itemProps2.xml><?xml version="1.0" encoding="utf-8"?>
<ds:datastoreItem xmlns:ds="http://schemas.openxmlformats.org/officeDocument/2006/customXml" ds:itemID="{40B28B96-0373-40EF-9E5A-8A7A5B2AABF4}"/>
</file>

<file path=customXml/itemProps3.xml><?xml version="1.0" encoding="utf-8"?>
<ds:datastoreItem xmlns:ds="http://schemas.openxmlformats.org/officeDocument/2006/customXml" ds:itemID="{2587164C-DED6-4E42-B960-F7ED31F844B1}"/>
</file>

<file path=customXml/itemProps4.xml><?xml version="1.0" encoding="utf-8"?>
<ds:datastoreItem xmlns:ds="http://schemas.openxmlformats.org/officeDocument/2006/customXml" ds:itemID="{39D04A7E-6467-4937-9E8D-74D4878830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1284</Words>
  <Characters>7323</Characters>
  <Application>Microsoft Office Word</Application>
  <DocSecurity>2</DocSecurity>
  <Lines>61</Lines>
  <Paragraphs>17</Paragraphs>
  <ScaleCrop>false</ScaleCrop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2026-08-10T19:36:00Z</dcterms:created>
  <dcterms:modified xsi:type="dcterms:W3CDTF">2026-08-10T19:36:00Z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834100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41bc2371-8194-4ec9-a495-9139928a4fc0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