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0D629C" w:rsidRDefault="00C55FAC" w:rsidP="00FD68A0">
      <w:pPr>
        <w:pStyle w:val="Heading1"/>
        <w:ind w:left="0"/>
        <w:rPr>
          <w:rFonts w:ascii="Nirmala UI" w:hAnsi="Nirmala UI" w:cs="Nirmala UI"/>
          <w:cs/>
          <w:lang w:bidi="si-LK"/>
        </w:rPr>
      </w:pPr>
      <w:r w:rsidRPr="000D629C">
        <w:rPr>
          <w:rFonts w:ascii="Nirmala UI" w:hAnsi="Nirmala UI" w:cs="Nirmala UI"/>
          <w:color w:val="391335"/>
          <w:spacing w:val="-4"/>
          <w:cs/>
          <w:lang w:bidi="si-LK"/>
        </w:rPr>
        <w:t>විදේශ සංචාර සහ විදේශීය මැදිහත්වීම්</w:t>
      </w:r>
    </w:p>
    <w:p w14:paraId="2294368F" w14:textId="77777777" w:rsidR="009C2AD2" w:rsidRPr="000D629C" w:rsidRDefault="00C55FAC" w:rsidP="004E0872">
      <w:pPr>
        <w:pStyle w:val="BodyText"/>
        <w:spacing w:before="120" w:after="120"/>
        <w:rPr>
          <w:rFonts w:ascii="Nirmala UI" w:hAnsi="Nirmala UI" w:cs="Nirmala UI"/>
          <w:cs/>
          <w:lang w:bidi="si-LK"/>
        </w:rPr>
      </w:pPr>
      <w:r w:rsidRPr="000D629C">
        <w:rPr>
          <w:rFonts w:ascii="Nirmala UI" w:hAnsi="Nirmala UI" w:cs="Nirmala UI"/>
          <w:color w:val="231F20"/>
          <w:spacing w:val="-5"/>
          <w:w w:val="105"/>
          <w:cs/>
          <w:lang w:bidi="si-LK"/>
        </w:rPr>
        <w:t>විදේශගත වන විට, සමහර පුද්ගලයින්ට ඔවුන්ගේ ආරක්ෂක සහ බුද්ධි අංශ ඇතුළු විදේශීය බලධාරීන්ගේ අමතර පරීක්ෂාව හරහා විදේශීය මැදිහත්වීම්වලට මුහුණ දීමට සිදුවිය හැකිය.</w:t>
      </w:r>
    </w:p>
    <w:p w14:paraId="22943691" w14:textId="6268C4A1" w:rsidR="009C2AD2" w:rsidRPr="000D629C" w:rsidRDefault="00C55FAC" w:rsidP="000364AB">
      <w:pPr>
        <w:pStyle w:val="BodyText"/>
        <w:spacing w:before="200" w:after="200" w:line="249" w:lineRule="auto"/>
        <w:rPr>
          <w:rFonts w:ascii="Nirmala UI" w:hAnsi="Nirmala UI" w:cs="Nirmala UI"/>
          <w:cs/>
          <w:lang w:bidi="si-LK"/>
        </w:rPr>
      </w:pPr>
      <w:r w:rsidRPr="000D629C">
        <w:rPr>
          <w:rFonts w:ascii="Nirmala UI" w:hAnsi="Nirmala UI" w:cs="Nirmala UI"/>
          <w:color w:val="231F20"/>
          <w:spacing w:val="-4"/>
          <w:w w:val="103"/>
          <w:cs/>
          <w:lang w:bidi="si-LK"/>
        </w:rPr>
        <w:t>බොහෝ සංචාරකයින්ට මෙය අත්විඳිය නොහැකි බවත්, දේශසීමා පරීක්ෂා කිරීම ලොව පුරා සුලභ බවත්, සාමාන්යයෙන් සාමාන්ය දෙයක් බවත්, විදේශීය මැදිහත්වීම්වලට සම්බන්ධ නොවන බවත් මතක තබා ගැනීම වැදගත්ය.</w:t>
      </w:r>
    </w:p>
    <w:p w14:paraId="22943693" w14:textId="73884628" w:rsidR="009C2AD2" w:rsidRPr="000D629C" w:rsidRDefault="00C55FAC" w:rsidP="004E0872">
      <w:pPr>
        <w:pStyle w:val="BodyText"/>
        <w:spacing w:before="120"/>
        <w:rPr>
          <w:rFonts w:ascii="Nirmala UI" w:hAnsi="Nirmala UI" w:cs="Nirmala UI"/>
          <w:b/>
          <w:bCs/>
          <w:cs/>
          <w:lang w:bidi="si-LK"/>
        </w:rPr>
      </w:pPr>
      <w:r w:rsidRPr="000D629C">
        <w:rPr>
          <w:rFonts w:ascii="Nirmala UI" w:hAnsi="Nirmala UI" w:cs="Nirmala UI"/>
          <w:b/>
          <w:bCs/>
          <w:color w:val="231F20"/>
          <w:cs/>
          <w:lang w:bidi="si-LK"/>
        </w:rPr>
        <w:t>විදේශීය මැදිහත්වීම් සම්බන්ධයෙන් අමතර පරීක්ෂාවට ලක් විය හැකි පුද්ගලයින්ට ඇතුළත් වන්නේ:</w:t>
      </w:r>
    </w:p>
    <w:p w14:paraId="22943695" w14:textId="77777777" w:rsidR="009C2AD2" w:rsidRPr="000D629C" w:rsidRDefault="00C55FAC" w:rsidP="008601FE">
      <w:pPr>
        <w:pStyle w:val="ListParagraph"/>
        <w:numPr>
          <w:ilvl w:val="0"/>
          <w:numId w:val="4"/>
        </w:numPr>
        <w:tabs>
          <w:tab w:val="left" w:pos="1145"/>
        </w:tabs>
        <w:spacing w:before="200" w:after="200"/>
        <w:ind w:left="714" w:hanging="357"/>
        <w:rPr>
          <w:rFonts w:ascii="Nirmala UI" w:hAnsi="Nirmala UI" w:cs="Nirmala UI"/>
          <w:cs/>
          <w:lang w:bidi="si-LK"/>
        </w:rPr>
      </w:pPr>
      <w:r w:rsidRPr="000D629C">
        <w:rPr>
          <w:rFonts w:ascii="Nirmala UI" w:hAnsi="Nirmala UI" w:cs="Nirmala UI"/>
          <w:color w:val="231F20"/>
          <w:spacing w:val="-2"/>
          <w:cs/>
          <w:lang w:bidi="si-LK"/>
        </w:rPr>
        <w:t>නවසීලන්තයේදී ඉලක්ක කරගත් පුද්ගලයින්</w:t>
      </w:r>
    </w:p>
    <w:p w14:paraId="22943696" w14:textId="77777777" w:rsidR="009C2AD2" w:rsidRPr="000D629C" w:rsidRDefault="00C55FAC" w:rsidP="008601FE">
      <w:pPr>
        <w:pStyle w:val="ListParagraph"/>
        <w:numPr>
          <w:ilvl w:val="0"/>
          <w:numId w:val="4"/>
        </w:numPr>
        <w:tabs>
          <w:tab w:val="left" w:pos="1145"/>
        </w:tabs>
        <w:spacing w:before="200" w:after="200"/>
        <w:ind w:left="714" w:hanging="357"/>
        <w:rPr>
          <w:rFonts w:ascii="Nirmala UI" w:hAnsi="Nirmala UI" w:cs="Nirmala UI"/>
          <w:cs/>
          <w:lang w:bidi="si-LK"/>
        </w:rPr>
      </w:pPr>
      <w:r w:rsidRPr="000D629C">
        <w:rPr>
          <w:rFonts w:ascii="Nirmala UI" w:hAnsi="Nirmala UI" w:cs="Nirmala UI"/>
          <w:color w:val="231F20"/>
          <w:spacing w:val="1"/>
          <w:cs/>
          <w:lang w:bidi="si-LK"/>
        </w:rPr>
        <w:t>විරුද්ධ මත දරන හෝ විදේශීය රාජ්යයන් විවේචනය කරන බවට දන්නා ප්රජා සාමාජිකයින්</w:t>
      </w:r>
    </w:p>
    <w:p w14:paraId="22943697" w14:textId="16391AAA" w:rsidR="009C2AD2" w:rsidRPr="000D629C" w:rsidRDefault="00C55FAC" w:rsidP="008601FE">
      <w:pPr>
        <w:pStyle w:val="ListParagraph"/>
        <w:numPr>
          <w:ilvl w:val="0"/>
          <w:numId w:val="4"/>
        </w:numPr>
        <w:tabs>
          <w:tab w:val="left" w:pos="1145"/>
        </w:tabs>
        <w:spacing w:before="200" w:after="200"/>
        <w:ind w:left="714" w:hanging="357"/>
        <w:rPr>
          <w:rFonts w:ascii="Nirmala UI" w:hAnsi="Nirmala UI" w:cs="Nirmala UI"/>
          <w:cs/>
          <w:lang w:bidi="si-LK"/>
        </w:rPr>
      </w:pPr>
      <w:r w:rsidRPr="000D629C">
        <w:rPr>
          <w:rFonts w:ascii="Nirmala UI" w:hAnsi="Nirmala UI" w:cs="Nirmala UI"/>
          <w:color w:val="231F20"/>
          <w:spacing w:val="4"/>
          <w:cs/>
          <w:lang w:bidi="si-LK"/>
        </w:rPr>
        <w:t>ප්රජා නායකයින්, උපදේශකයින් සහ ක්රියාකාරීන්</w:t>
      </w:r>
    </w:p>
    <w:p w14:paraId="22943698" w14:textId="77777777" w:rsidR="009C2AD2" w:rsidRPr="000D629C" w:rsidRDefault="00C55FAC" w:rsidP="008601FE">
      <w:pPr>
        <w:pStyle w:val="ListParagraph"/>
        <w:numPr>
          <w:ilvl w:val="0"/>
          <w:numId w:val="4"/>
        </w:numPr>
        <w:tabs>
          <w:tab w:val="left" w:pos="1145"/>
        </w:tabs>
        <w:spacing w:before="200" w:after="200"/>
        <w:ind w:left="714" w:hanging="357"/>
        <w:rPr>
          <w:rFonts w:ascii="Nirmala UI" w:hAnsi="Nirmala UI" w:cs="Nirmala UI"/>
          <w:cs/>
          <w:lang w:bidi="si-LK"/>
        </w:rPr>
      </w:pPr>
      <w:r w:rsidRPr="000D629C">
        <w:rPr>
          <w:rFonts w:ascii="Nirmala UI" w:hAnsi="Nirmala UI" w:cs="Nirmala UI"/>
          <w:color w:val="231F20"/>
          <w:spacing w:val="1"/>
          <w:cs/>
          <w:lang w:bidi="si-LK"/>
        </w:rPr>
        <w:t>පවුලේ, ප්රජා හෝ ව්යාපාරික හේතූන් මත සංචාරය කරන ප්රජා සාමාජිකයින්</w:t>
      </w:r>
    </w:p>
    <w:p w14:paraId="22943699" w14:textId="77777777" w:rsidR="009C2AD2" w:rsidRPr="000D629C" w:rsidRDefault="00C55FAC" w:rsidP="008601FE">
      <w:pPr>
        <w:pStyle w:val="ListParagraph"/>
        <w:numPr>
          <w:ilvl w:val="0"/>
          <w:numId w:val="4"/>
        </w:numPr>
        <w:tabs>
          <w:tab w:val="left" w:pos="1145"/>
        </w:tabs>
        <w:spacing w:before="200" w:after="200" w:line="285" w:lineRule="auto"/>
        <w:ind w:left="714" w:hanging="357"/>
        <w:rPr>
          <w:rFonts w:ascii="Nirmala UI" w:hAnsi="Nirmala UI" w:cs="Nirmala UI"/>
          <w:cs/>
          <w:lang w:bidi="si-LK"/>
        </w:rPr>
      </w:pPr>
      <w:r w:rsidRPr="000D629C">
        <w:rPr>
          <w:rFonts w:ascii="Nirmala UI" w:hAnsi="Nirmala UI" w:cs="Nirmala UI"/>
          <w:color w:val="231F20"/>
          <w:cs/>
          <w:lang w:bidi="si-LK"/>
        </w:rPr>
        <w:t>නවසීලන්ත රජය, පළාත් පාලන ආයතන හෝ නවසීලන්තයේ තේරී පත් වූ නිලධාරීන් සඳහා සේවය කරන ප්රජා සාමාජිකයින්</w:t>
      </w:r>
    </w:p>
    <w:p w14:paraId="2294369A" w14:textId="77777777" w:rsidR="009C2AD2" w:rsidRPr="000D629C" w:rsidRDefault="00C55FAC" w:rsidP="008601FE">
      <w:pPr>
        <w:pStyle w:val="ListParagraph"/>
        <w:numPr>
          <w:ilvl w:val="0"/>
          <w:numId w:val="4"/>
        </w:numPr>
        <w:tabs>
          <w:tab w:val="left" w:pos="1145"/>
        </w:tabs>
        <w:spacing w:before="200" w:after="200" w:line="285" w:lineRule="auto"/>
        <w:ind w:left="714" w:hanging="357"/>
        <w:rPr>
          <w:rFonts w:ascii="Nirmala UI" w:hAnsi="Nirmala UI" w:cs="Nirmala UI"/>
          <w:cs/>
          <w:lang w:bidi="si-LK"/>
        </w:rPr>
      </w:pPr>
      <w:r w:rsidRPr="000D629C">
        <w:rPr>
          <w:rFonts w:ascii="Nirmala UI" w:hAnsi="Nirmala UI" w:cs="Nirmala UI"/>
          <w:color w:val="231F20"/>
          <w:spacing w:val="-1"/>
          <w:w w:val="102"/>
          <w:cs/>
          <w:lang w:bidi="si-LK"/>
        </w:rPr>
        <w:t>අනෙකුත් ප්රධාන අංශවල සේවය කරන ප්රජා සාමාජිකයින්, උදාහරණයක් ලෙස, අත්යවශ්ය යටිතල පහසුකම්, ශාස්ත්රීය ක්ෂේත්රය, මාධ්ය</w:t>
      </w:r>
    </w:p>
    <w:p w14:paraId="2294369B" w14:textId="77777777" w:rsidR="009C2AD2" w:rsidRPr="000D629C" w:rsidRDefault="00C55FAC" w:rsidP="008601FE">
      <w:pPr>
        <w:pStyle w:val="ListParagraph"/>
        <w:numPr>
          <w:ilvl w:val="0"/>
          <w:numId w:val="4"/>
        </w:numPr>
        <w:tabs>
          <w:tab w:val="left" w:pos="1145"/>
        </w:tabs>
        <w:spacing w:before="200" w:after="200"/>
        <w:ind w:left="714" w:hanging="357"/>
        <w:rPr>
          <w:rFonts w:ascii="Nirmala UI" w:hAnsi="Nirmala UI" w:cs="Nirmala UI"/>
          <w:cs/>
          <w:lang w:bidi="si-LK"/>
        </w:rPr>
      </w:pPr>
      <w:r w:rsidRPr="000D629C">
        <w:rPr>
          <w:rFonts w:ascii="Nirmala UI" w:hAnsi="Nirmala UI" w:cs="Nirmala UI"/>
          <w:color w:val="231F20"/>
          <w:spacing w:val="-5"/>
          <w:cs/>
          <w:lang w:bidi="si-LK"/>
        </w:rPr>
        <w:t>හිටපු සරණාගතයින්.</w:t>
      </w:r>
    </w:p>
    <w:p w14:paraId="2294369D" w14:textId="4DF85FFF" w:rsidR="009C2AD2" w:rsidRPr="000D629C" w:rsidRDefault="00C55FAC" w:rsidP="00E956A8">
      <w:pPr>
        <w:pStyle w:val="BodyText"/>
        <w:spacing w:before="360"/>
        <w:rPr>
          <w:rFonts w:ascii="Nirmala UI" w:hAnsi="Nirmala UI" w:cs="Nirmala UI"/>
          <w:b/>
          <w:bCs/>
          <w:color w:val="231F20"/>
          <w:cs/>
          <w:lang w:bidi="si-LK"/>
        </w:rPr>
      </w:pPr>
      <w:r w:rsidRPr="000D629C">
        <w:rPr>
          <w:rFonts w:ascii="Nirmala UI" w:hAnsi="Nirmala UI" w:cs="Nirmala UI"/>
          <w:b/>
          <w:bCs/>
          <w:color w:val="231F20"/>
          <w:cs/>
          <w:lang w:bidi="si-LK"/>
        </w:rPr>
        <w:t>රට අනුව පුද්ගලයින්ට අවදානම් වලට මුහුණ දීමට සිදුවියහැකිය, එනම්:</w:t>
      </w:r>
    </w:p>
    <w:p w14:paraId="2294369F" w14:textId="77777777" w:rsidR="009C2AD2" w:rsidRPr="000D629C" w:rsidRDefault="00C55FAC" w:rsidP="004E0872">
      <w:pPr>
        <w:pStyle w:val="ListParagraph"/>
        <w:numPr>
          <w:ilvl w:val="0"/>
          <w:numId w:val="5"/>
        </w:numPr>
        <w:tabs>
          <w:tab w:val="left" w:pos="1145"/>
        </w:tabs>
        <w:spacing w:before="120" w:line="286" w:lineRule="auto"/>
        <w:rPr>
          <w:rFonts w:ascii="Nirmala UI" w:hAnsi="Nirmala UI" w:cs="Nirmala UI"/>
          <w:cs/>
          <w:lang w:bidi="si-LK"/>
        </w:rPr>
      </w:pPr>
      <w:r w:rsidRPr="000D629C">
        <w:rPr>
          <w:rFonts w:ascii="Nirmala UI" w:hAnsi="Nirmala UI" w:cs="Nirmala UI"/>
          <w:color w:val="231F20"/>
          <w:spacing w:val="-7"/>
          <w:w w:val="105"/>
          <w:cs/>
          <w:lang w:bidi="si-LK"/>
        </w:rPr>
        <w:t xml:space="preserve"> උදාහරණයක් ලෙස සංචාරක සැලසුම්, ක්රියාකාරකම් හෝ සම්බන්ධතා පිළිබඳව පළාත් පාලන ආයතන විසින්</w:t>
      </w:r>
      <w:r w:rsidRPr="000D629C">
        <w:rPr>
          <w:rFonts w:ascii="Nirmala UI" w:hAnsi="Nirmala UI" w:cs="Nirmala UI"/>
          <w:b/>
          <w:bCs/>
          <w:color w:val="231F20"/>
          <w:spacing w:val="-7"/>
          <w:w w:val="105"/>
          <w:cs/>
          <w:lang w:bidi="si-LK"/>
        </w:rPr>
        <w:t xml:space="preserve"> අනවශ්ය ලෙස ප්රශ්න කරනු ලැබීම</w:t>
      </w:r>
    </w:p>
    <w:p w14:paraId="229436A0" w14:textId="77777777" w:rsidR="009C2AD2" w:rsidRPr="000D629C" w:rsidRDefault="00C55FAC" w:rsidP="00A014C6">
      <w:pPr>
        <w:pStyle w:val="ListParagraph"/>
        <w:numPr>
          <w:ilvl w:val="0"/>
          <w:numId w:val="5"/>
        </w:numPr>
        <w:tabs>
          <w:tab w:val="left" w:pos="1145"/>
        </w:tabs>
        <w:spacing w:before="120" w:line="286" w:lineRule="auto"/>
        <w:rPr>
          <w:rFonts w:ascii="Nirmala UI" w:hAnsi="Nirmala UI" w:cs="Nirmala UI"/>
          <w:cs/>
          <w:lang w:bidi="si-LK"/>
        </w:rPr>
      </w:pPr>
      <w:r w:rsidRPr="000D629C">
        <w:rPr>
          <w:rFonts w:ascii="Nirmala UI" w:hAnsi="Nirmala UI" w:cs="Nirmala UI"/>
          <w:b/>
          <w:bCs/>
          <w:color w:val="231F20"/>
          <w:spacing w:val="-7"/>
          <w:w w:val="105"/>
          <w:cs/>
          <w:lang w:bidi="si-LK"/>
        </w:rPr>
        <w:t>ඇතුළුවීම</w:t>
      </w:r>
      <w:r w:rsidRPr="000D629C">
        <w:rPr>
          <w:rFonts w:ascii="Nirmala UI" w:hAnsi="Nirmala UI" w:cs="Nirmala UI"/>
          <w:b/>
          <w:bCs/>
          <w:color w:val="231F20"/>
          <w:w w:val="105"/>
          <w:cs/>
          <w:lang w:bidi="si-LK"/>
        </w:rPr>
        <w:t xml:space="preserve"> හෝ පිටවීම</w:t>
      </w:r>
      <w:r w:rsidRPr="000D629C">
        <w:rPr>
          <w:rFonts w:ascii="Nirmala UI" w:hAnsi="Nirmala UI" w:cs="Nirmala UI"/>
          <w:color w:val="231F20"/>
          <w:spacing w:val="-6"/>
          <w:w w:val="105"/>
          <w:cs/>
          <w:lang w:bidi="si-LK"/>
        </w:rPr>
        <w:t xml:space="preserve"> ප්රතික්ෂේප කිරීම, ගුවන් ගමන් වලට ගොඩවීම ප්රතික්ෂේප කිරීම හෝ දේශසීමා මුරපොලවල් වලට ඇතුළුවීම ප්රතික්ෂේප කිරීම වැනි</w:t>
      </w:r>
    </w:p>
    <w:p w14:paraId="229436A1" w14:textId="77777777" w:rsidR="009C2AD2" w:rsidRPr="000D629C" w:rsidRDefault="00C55FAC" w:rsidP="00A014C6">
      <w:pPr>
        <w:pStyle w:val="ListParagraph"/>
        <w:numPr>
          <w:ilvl w:val="0"/>
          <w:numId w:val="5"/>
        </w:numPr>
        <w:tabs>
          <w:tab w:val="left" w:pos="1145"/>
        </w:tabs>
        <w:spacing w:before="120" w:line="286" w:lineRule="auto"/>
        <w:rPr>
          <w:rFonts w:ascii="Nirmala UI" w:hAnsi="Nirmala UI" w:cs="Nirmala UI"/>
          <w:cs/>
          <w:lang w:bidi="si-LK"/>
        </w:rPr>
      </w:pPr>
      <w:r w:rsidRPr="000D629C">
        <w:rPr>
          <w:rFonts w:ascii="Nirmala UI" w:hAnsi="Nirmala UI" w:cs="Nirmala UI"/>
          <w:b/>
          <w:bCs/>
          <w:color w:val="231F20"/>
          <w:w w:val="105"/>
          <w:cs/>
          <w:lang w:bidi="si-LK"/>
        </w:rPr>
        <w:t>රට තුළ සංචලනය සීමා කිරීම ඇතුළුව, සංචාරක හෝ</w:t>
      </w:r>
      <w:r w:rsidRPr="000D629C">
        <w:rPr>
          <w:rFonts w:ascii="Nirmala UI" w:hAnsi="Nirmala UI" w:cs="Nirmala UI"/>
          <w:b/>
          <w:bCs/>
          <w:color w:val="231F20"/>
          <w:spacing w:val="-3"/>
          <w:w w:val="105"/>
          <w:cs/>
          <w:lang w:bidi="si-LK"/>
        </w:rPr>
        <w:t xml:space="preserve"> වීසා සීමාවන්</w:t>
      </w:r>
      <w:r w:rsidRPr="000D629C">
        <w:rPr>
          <w:rFonts w:ascii="Nirmala UI" w:hAnsi="Nirmala UI" w:cs="Nirmala UI"/>
          <w:color w:val="231F20"/>
          <w:spacing w:val="-1"/>
          <w:w w:val="105"/>
          <w:cs/>
          <w:lang w:bidi="si-LK"/>
        </w:rPr>
        <w:t xml:space="preserve"> පනවා තිබීම</w:t>
      </w:r>
    </w:p>
    <w:p w14:paraId="2E56D874" w14:textId="77777777" w:rsidR="004270DA" w:rsidRPr="000D629C" w:rsidRDefault="00C55FAC" w:rsidP="004E0872">
      <w:pPr>
        <w:pStyle w:val="ListParagraph"/>
        <w:numPr>
          <w:ilvl w:val="0"/>
          <w:numId w:val="5"/>
        </w:numPr>
        <w:tabs>
          <w:tab w:val="left" w:pos="1145"/>
        </w:tabs>
        <w:spacing w:before="0" w:line="286" w:lineRule="auto"/>
        <w:rPr>
          <w:rFonts w:ascii="Nirmala UI" w:hAnsi="Nirmala UI" w:cs="Nirmala UI"/>
          <w:cs/>
          <w:lang w:bidi="si-LK"/>
        </w:rPr>
      </w:pPr>
      <w:r w:rsidRPr="000D629C">
        <w:rPr>
          <w:rFonts w:ascii="Nirmala UI" w:hAnsi="Nirmala UI" w:cs="Nirmala UI"/>
          <w:b/>
          <w:bCs/>
          <w:color w:val="231F20"/>
          <w:spacing w:val="-4"/>
          <w:w w:val="105"/>
          <w:cs/>
          <w:lang w:bidi="si-LK"/>
        </w:rPr>
        <w:t>පුද්ගලික තොරතුරු හෝ සන්නිවේදනයන් පරික්ෂාවන්ට ඇතුළත් විය හැකි</w:t>
      </w:r>
      <w:r w:rsidRPr="000D629C">
        <w:rPr>
          <w:rFonts w:ascii="Nirmala UI" w:hAnsi="Nirmala UI" w:cs="Nirmala UI"/>
          <w:color w:val="231F20"/>
          <w:spacing w:val="-4"/>
          <w:w w:val="105"/>
          <w:cs/>
          <w:lang w:bidi="si-LK"/>
        </w:rPr>
        <w:t xml:space="preserve"> දුරකථන, ලැප්ටොප් හෝ වෙනත් උපාංග ඇතුළුව ඉලෙක්ට්රොනික උපාංග පරික්ෂාව</w:t>
      </w:r>
    </w:p>
    <w:p w14:paraId="5052F636" w14:textId="328FD8CA" w:rsidR="004270DA" w:rsidRPr="000D629C" w:rsidRDefault="00C55FAC" w:rsidP="00A014C6">
      <w:pPr>
        <w:pStyle w:val="ListParagraph"/>
        <w:numPr>
          <w:ilvl w:val="0"/>
          <w:numId w:val="5"/>
        </w:numPr>
        <w:tabs>
          <w:tab w:val="left" w:pos="1145"/>
        </w:tabs>
        <w:spacing w:before="120" w:line="286" w:lineRule="auto"/>
        <w:rPr>
          <w:rFonts w:ascii="Nirmala UI" w:hAnsi="Nirmala UI" w:cs="Nirmala UI"/>
          <w:color w:val="231F20"/>
          <w:w w:val="110"/>
          <w:cs/>
          <w:lang w:bidi="si-LK"/>
        </w:rPr>
      </w:pPr>
      <w:r w:rsidRPr="000D629C">
        <w:rPr>
          <w:rFonts w:ascii="Nirmala UI" w:hAnsi="Nirmala UI" w:cs="Nirmala UI"/>
          <w:b/>
          <w:bCs/>
          <w:color w:val="231F20"/>
          <w:cs/>
          <w:lang w:bidi="si-LK"/>
        </w:rPr>
        <w:t>පැමිණීමෙන් පසු ඉලක්කගත සෝදිසි කිරීම, රඳවා තබා ගැනීම හෝ සිරගත කිරීම</w:t>
      </w:r>
      <w:r w:rsidRPr="000D629C">
        <w:rPr>
          <w:rFonts w:ascii="Nirmala UI" w:hAnsi="Nirmala UI" w:cs="Nirmala UI"/>
          <w:color w:val="231F20"/>
          <w:cs/>
          <w:lang w:bidi="si-LK"/>
        </w:rPr>
        <w:t>, එයට විධිමත්</w:t>
      </w:r>
      <w:r w:rsidRPr="000D629C">
        <w:rPr>
          <w:rFonts w:ascii="Nirmala UI" w:hAnsi="Nirmala UI" w:cs="Nirmala UI"/>
          <w:b/>
          <w:bCs/>
          <w:color w:val="231F20"/>
          <w:cs/>
          <w:lang w:bidi="si-LK"/>
        </w:rPr>
        <w:t xml:space="preserve"> </w:t>
      </w:r>
      <w:r w:rsidRPr="000D629C">
        <w:rPr>
          <w:rFonts w:ascii="Nirmala UI" w:hAnsi="Nirmala UI" w:cs="Nirmala UI"/>
          <w:color w:val="231F20"/>
          <w:cs/>
          <w:lang w:bidi="si-LK"/>
        </w:rPr>
        <w:t>නීතිමය ක්රියාමාර්ග</w:t>
      </w:r>
      <w:r w:rsidRPr="000D629C">
        <w:rPr>
          <w:rFonts w:ascii="Nirmala UI" w:hAnsi="Nirmala UI" w:cs="Nirmala UI"/>
          <w:b/>
          <w:bCs/>
          <w:color w:val="231F20"/>
          <w:cs/>
          <w:lang w:bidi="si-LK"/>
        </w:rPr>
        <w:t xml:space="preserve"> </w:t>
      </w:r>
      <w:r w:rsidRPr="000D629C">
        <w:rPr>
          <w:rFonts w:ascii="Nirmala UI" w:hAnsi="Nirmala UI" w:cs="Nirmala UI"/>
          <w:color w:val="231F20"/>
          <w:cs/>
          <w:lang w:bidi="si-LK"/>
        </w:rPr>
        <w:t>ඇතුළත් විය හැකිය</w:t>
      </w:r>
    </w:p>
    <w:p w14:paraId="229436A4" w14:textId="77777777" w:rsidR="009C2AD2" w:rsidRPr="000D629C" w:rsidRDefault="00C55FAC" w:rsidP="008601FE">
      <w:pPr>
        <w:pStyle w:val="ListParagraph"/>
        <w:numPr>
          <w:ilvl w:val="0"/>
          <w:numId w:val="5"/>
        </w:numPr>
        <w:tabs>
          <w:tab w:val="left" w:pos="1145"/>
        </w:tabs>
        <w:spacing w:before="200" w:after="200"/>
        <w:ind w:left="714" w:hanging="357"/>
        <w:rPr>
          <w:rFonts w:ascii="Nirmala UI" w:hAnsi="Nirmala UI" w:cs="Nirmala UI"/>
          <w:cs/>
          <w:lang w:bidi="si-LK"/>
        </w:rPr>
      </w:pPr>
      <w:r w:rsidRPr="000D629C">
        <w:rPr>
          <w:rFonts w:ascii="Nirmala UI" w:hAnsi="Nirmala UI" w:cs="Nirmala UI"/>
          <w:b/>
          <w:bCs/>
          <w:color w:val="231F20"/>
          <w:spacing w:val="2"/>
          <w:cs/>
          <w:lang w:bidi="si-LK"/>
        </w:rPr>
        <w:lastRenderedPageBreak/>
        <w:t>පළාත් පාලන ආයතනවලින්</w:t>
      </w:r>
      <w:r w:rsidRPr="000D629C">
        <w:rPr>
          <w:rFonts w:ascii="Nirmala UI" w:hAnsi="Nirmala UI" w:cs="Nirmala UI"/>
          <w:b/>
          <w:bCs/>
          <w:color w:val="231F20"/>
          <w:spacing w:val="4"/>
          <w:cs/>
          <w:lang w:bidi="si-LK"/>
        </w:rPr>
        <w:t xml:space="preserve"> බිය ගැන්වීම්</w:t>
      </w:r>
      <w:r w:rsidRPr="000D629C">
        <w:rPr>
          <w:rFonts w:ascii="Nirmala UI" w:hAnsi="Nirmala UI" w:cs="Nirmala UI"/>
          <w:color w:val="231F20"/>
          <w:spacing w:val="2"/>
          <w:cs/>
          <w:lang w:bidi="si-LK"/>
        </w:rPr>
        <w:t>, හිරිහැර කිරීම්, හෝ තර්ජන</w:t>
      </w:r>
      <w:r w:rsidRPr="000D629C">
        <w:rPr>
          <w:rFonts w:ascii="Nirmala UI" w:hAnsi="Nirmala UI" w:cs="Nirmala UI"/>
          <w:color w:val="231F20"/>
          <w:spacing w:val="-2"/>
          <w:cs/>
          <w:lang w:bidi="si-LK"/>
        </w:rPr>
        <w:t xml:space="preserve"> අත්විඳීම</w:t>
      </w:r>
    </w:p>
    <w:p w14:paraId="169D5769" w14:textId="5ABF7858" w:rsidR="000F1A92" w:rsidRPr="000D629C" w:rsidRDefault="00C55FAC" w:rsidP="004E0872">
      <w:pPr>
        <w:pStyle w:val="ListParagraph"/>
        <w:numPr>
          <w:ilvl w:val="0"/>
          <w:numId w:val="5"/>
        </w:numPr>
        <w:tabs>
          <w:tab w:val="left" w:pos="1145"/>
        </w:tabs>
        <w:spacing w:before="200" w:line="286" w:lineRule="auto"/>
        <w:rPr>
          <w:rFonts w:ascii="Nirmala UI" w:hAnsi="Nirmala UI" w:cs="Nirmala UI"/>
          <w:cs/>
          <w:lang w:bidi="si-LK"/>
        </w:rPr>
      </w:pPr>
      <w:r w:rsidRPr="000D629C">
        <w:rPr>
          <w:rFonts w:ascii="Nirmala UI" w:hAnsi="Nirmala UI" w:cs="Nirmala UI"/>
          <w:b/>
          <w:bCs/>
          <w:color w:val="231F20"/>
          <w:cs/>
          <w:lang w:bidi="si-LK"/>
        </w:rPr>
        <w:t>නීතිය ක්රියාත්මක කරන ආයතන හෝ බලධාරීන්</w:t>
      </w:r>
      <w:r w:rsidRPr="000D629C">
        <w:rPr>
          <w:rFonts w:ascii="Nirmala UI" w:hAnsi="Nirmala UI" w:cs="Nirmala UI"/>
          <w:b/>
          <w:bCs/>
          <w:color w:val="231F20"/>
          <w:spacing w:val="4"/>
          <w:cs/>
          <w:lang w:bidi="si-LK"/>
        </w:rPr>
        <w:t xml:space="preserve"> විසින් පමණක් නොව,</w:t>
      </w:r>
      <w:r w:rsidRPr="000D629C">
        <w:rPr>
          <w:rFonts w:ascii="Nirmala UI" w:hAnsi="Nirmala UI" w:cs="Nirmala UI"/>
          <w:b/>
          <w:bCs/>
          <w:color w:val="231F20"/>
          <w:cs/>
          <w:lang w:bidi="si-LK"/>
        </w:rPr>
        <w:t xml:space="preserve"> ප්රාදේශීය කණ්ඩායම් විසින් ප්රශ්න කිරීම</w:t>
      </w:r>
      <w:r w:rsidRPr="000D629C">
        <w:rPr>
          <w:rFonts w:ascii="Nirmala UI" w:hAnsi="Nirmala UI" w:cs="Nirmala UI"/>
          <w:color w:val="231F20"/>
          <w:cs/>
          <w:lang w:bidi="si-LK"/>
        </w:rPr>
        <w:t>, හිරිහැර කිරීම හෝ බිය ගැන්වීමට ලක් කිරීම</w:t>
      </w:r>
      <w:r w:rsidRPr="000D629C">
        <w:rPr>
          <w:rFonts w:ascii="Nirmala UI" w:hAnsi="Nirmala UI" w:cs="Nirmala UI"/>
          <w:color w:val="231F20"/>
          <w:spacing w:val="-5"/>
          <w:w w:val="108"/>
          <w:cs/>
          <w:lang w:bidi="si-LK"/>
        </w:rPr>
        <w:t>.</w:t>
      </w:r>
    </w:p>
    <w:p w14:paraId="2D2F1A0F" w14:textId="77777777" w:rsidR="000F1A92" w:rsidRPr="000D629C" w:rsidRDefault="000F1A92" w:rsidP="004E0872">
      <w:pPr>
        <w:pStyle w:val="Heading2"/>
        <w:spacing w:before="120"/>
        <w:ind w:left="0"/>
        <w:rPr>
          <w:rFonts w:ascii="Nirmala UI" w:hAnsi="Nirmala UI" w:cs="Nirmala UI"/>
          <w:cs/>
          <w:lang w:bidi="si-LK"/>
        </w:rPr>
      </w:pPr>
      <w:r w:rsidRPr="000D629C">
        <w:rPr>
          <w:rFonts w:ascii="Nirmala UI" w:hAnsi="Nirmala UI" w:cs="Nirmala UI"/>
          <w:color w:val="391335"/>
          <w:cs/>
          <w:lang w:bidi="si-LK"/>
        </w:rPr>
        <w:t>නවසීලන්ත කොන්සියුලර් සහාය</w:t>
      </w:r>
    </w:p>
    <w:p w14:paraId="03076CCC" w14:textId="77777777" w:rsidR="000F1A92" w:rsidRPr="000D629C" w:rsidRDefault="000F1A92" w:rsidP="000364AB">
      <w:pPr>
        <w:pStyle w:val="BodyText"/>
        <w:spacing w:before="200" w:after="200" w:line="249" w:lineRule="auto"/>
        <w:rPr>
          <w:rFonts w:ascii="Nirmala UI" w:hAnsi="Nirmala UI" w:cs="Nirmala UI"/>
          <w:cs/>
          <w:lang w:bidi="si-LK"/>
        </w:rPr>
      </w:pPr>
      <w:r w:rsidRPr="000D629C">
        <w:rPr>
          <w:rFonts w:ascii="Nirmala UI" w:hAnsi="Nirmala UI" w:cs="Nirmala UI"/>
          <w:color w:val="231F20"/>
          <w:spacing w:val="-3"/>
          <w:w w:val="104"/>
          <w:cs/>
          <w:lang w:bidi="si-LK"/>
        </w:rPr>
        <w:t>සාමාන්යයෙන් නවසීලන්තයේ ජීවත් නොවුනත්, නවසීලන්තයෙන් පිටත සිටින නවසීලන්ත පුරවැසියන්ට, විදේශ කටයුතු සහ වෙළඳ අමාත්යාංශය (MFAT) කොන්සියුලර් සේවා සපයයි.</w:t>
      </w:r>
    </w:p>
    <w:p w14:paraId="54DA327A" w14:textId="77777777" w:rsidR="000F1A92" w:rsidRPr="000D629C" w:rsidRDefault="000F1A92" w:rsidP="000364AB">
      <w:pPr>
        <w:pStyle w:val="BodyText"/>
        <w:spacing w:before="200" w:after="200"/>
        <w:rPr>
          <w:rFonts w:ascii="Nirmala UI" w:hAnsi="Nirmala UI" w:cs="Nirmala UI"/>
          <w:cs/>
          <w:lang w:bidi="si-LK"/>
        </w:rPr>
      </w:pPr>
      <w:r w:rsidRPr="000D629C">
        <w:rPr>
          <w:rFonts w:ascii="Nirmala UI" w:hAnsi="Nirmala UI" w:cs="Nirmala UI"/>
          <w:color w:val="231F20"/>
          <w:spacing w:val="3"/>
          <w:cs/>
          <w:lang w:bidi="si-LK"/>
        </w:rPr>
        <w:t>නවසීලන්ත ස්ථිර පදිංචිකරුවන්ට සාමාන්යයෙන් කොන්සියුලර් සහාය ලබා නොදේ.</w:t>
      </w:r>
    </w:p>
    <w:p w14:paraId="1A83DD3B" w14:textId="34BC5703" w:rsidR="000F1A92" w:rsidRPr="000D629C" w:rsidRDefault="000F1A92" w:rsidP="004E0872">
      <w:pPr>
        <w:pStyle w:val="BodyText"/>
        <w:spacing w:before="120" w:after="120"/>
        <w:rPr>
          <w:rFonts w:ascii="Nirmala UI" w:hAnsi="Nirmala UI" w:cs="Nirmala UI"/>
          <w:cs/>
          <w:lang w:bidi="si-LK"/>
        </w:rPr>
      </w:pPr>
      <w:r w:rsidRPr="000D629C">
        <w:rPr>
          <w:rFonts w:ascii="Nirmala UI" w:hAnsi="Nirmala UI" w:cs="Nirmala UI"/>
          <w:color w:val="231F20"/>
          <w:spacing w:val="-3"/>
          <w:w w:val="104"/>
          <w:cs/>
          <w:lang w:bidi="si-LK"/>
        </w:rPr>
        <w:t>විදේශයන්හි සිටින නවසීලන්ත ජාතිකයන් අනෙක් රටේ දේශීය නීතිවලට යටත් වන අතර, රඳවා තබා ගැනීම, නඩු පැවරීම හෝ සංචාර සීමා කිරීම පාලනය කරන එම රටේ නීති ද ඊට ඇතුළත් වේ.</w:t>
      </w:r>
    </w:p>
    <w:p w14:paraId="34B471DC" w14:textId="77777777" w:rsidR="000F1A92" w:rsidRPr="000D629C" w:rsidRDefault="000F1A92" w:rsidP="004E0872">
      <w:pPr>
        <w:pStyle w:val="BodyText"/>
        <w:spacing w:before="240"/>
        <w:rPr>
          <w:rFonts w:ascii="Nirmala UI" w:hAnsi="Nirmala UI" w:cs="Nirmala UI"/>
          <w:b/>
          <w:bCs/>
          <w:cs/>
          <w:lang w:bidi="si-LK"/>
        </w:rPr>
      </w:pPr>
      <w:r w:rsidRPr="000D629C">
        <w:rPr>
          <w:rFonts w:ascii="Nirmala UI" w:hAnsi="Nirmala UI" w:cs="Nirmala UI"/>
          <w:b/>
          <w:bCs/>
          <w:color w:val="231F20"/>
          <w:spacing w:val="-2"/>
          <w:w w:val="107"/>
          <w:cs/>
          <w:lang w:bidi="si-LK"/>
        </w:rPr>
        <w:t>ද්විත්ව පුරවැසියන්</w:t>
      </w:r>
    </w:p>
    <w:p w14:paraId="25F65E43" w14:textId="77777777" w:rsidR="002D6D45" w:rsidRPr="000D629C" w:rsidRDefault="000F1A92" w:rsidP="000364AB">
      <w:pPr>
        <w:pStyle w:val="BodyText"/>
        <w:spacing w:before="200" w:after="200" w:line="249" w:lineRule="auto"/>
        <w:rPr>
          <w:rFonts w:ascii="Nirmala UI" w:hAnsi="Nirmala UI" w:cs="Nirmala UI"/>
          <w:color w:val="231F20"/>
          <w:w w:val="105"/>
          <w:cs/>
          <w:lang w:bidi="si-LK"/>
        </w:rPr>
      </w:pPr>
      <w:r w:rsidRPr="000D629C">
        <w:rPr>
          <w:rFonts w:ascii="Nirmala UI" w:hAnsi="Nirmala UI" w:cs="Nirmala UI"/>
          <w:color w:val="231F20"/>
          <w:spacing w:val="-5"/>
          <w:w w:val="104"/>
          <w:cs/>
          <w:lang w:bidi="si-LK"/>
        </w:rPr>
        <w:t>ද්විත්ව පුරවැසිභාවය තිබීම නවසීලන්තයට කොන්සියුලර් සහාය ලබා දීමේ හැකියාවට බලපෑ හැකිය. වෙනත් පුරවැසිභාවයක් ඇති රටක සිටින විට, පළාත් පාලන ආයතනවලට එම පුද්ගලයා තම පුරවැසියෙකු ලෙස පමණක් සැලකිය හැකි අතර නවසීලන්තයට මැදිහත්වීමට ඉඩ නොදේ.</w:t>
      </w:r>
    </w:p>
    <w:p w14:paraId="2CFAB287" w14:textId="778AF4F9" w:rsidR="000F1A92" w:rsidRPr="000D629C" w:rsidRDefault="000F1A92" w:rsidP="000364AB">
      <w:pPr>
        <w:pStyle w:val="BodyText"/>
        <w:spacing w:before="200" w:after="200" w:line="249" w:lineRule="auto"/>
        <w:rPr>
          <w:rFonts w:ascii="Nirmala UI" w:hAnsi="Nirmala UI" w:cs="Nirmala UI"/>
          <w:cs/>
          <w:lang w:bidi="si-LK"/>
        </w:rPr>
      </w:pPr>
      <w:r w:rsidRPr="000D629C">
        <w:rPr>
          <w:rFonts w:ascii="Nirmala UI" w:hAnsi="Nirmala UI" w:cs="Nirmala UI"/>
          <w:color w:val="231F20"/>
          <w:cs/>
          <w:lang w:bidi="si-LK"/>
        </w:rPr>
        <w:t xml:space="preserve">ආරක්ෂිත සංචාරය පිළිබඳ වැඩිදුර තොරතුරු ඔබට සොයාගත හැකිය: </w:t>
      </w:r>
      <w:hyperlink r:id="rId7" w:history="1">
        <w:r w:rsidRPr="000D629C">
          <w:rPr>
            <w:rStyle w:val="Hyperlink"/>
            <w:rFonts w:ascii="Nirmala UI" w:hAnsi="Nirmala UI" w:cs="Nirmala UI"/>
            <w:cs/>
            <w:lang w:bidi="si-LK"/>
          </w:rPr>
          <w:t xml:space="preserve">ද්විත්ව පුරවැසියන් සහ ස්ථිර පදිංචිකරුවන් </w:t>
        </w:r>
      </w:hyperlink>
      <w:r w:rsidRPr="000D629C">
        <w:rPr>
          <w:rFonts w:ascii="Nirmala UI" w:hAnsi="Nirmala UI" w:cs="Nirmala UI"/>
          <w:color w:val="0000FF"/>
          <w:cs/>
          <w:lang w:bidi="si-LK"/>
        </w:rPr>
        <w:t xml:space="preserve"> </w:t>
      </w:r>
    </w:p>
    <w:p w14:paraId="0F0C8816" w14:textId="77777777" w:rsidR="000F1A92" w:rsidRPr="000D629C" w:rsidRDefault="000F1A92" w:rsidP="004E0872">
      <w:pPr>
        <w:pStyle w:val="BodyText"/>
        <w:spacing w:before="120"/>
        <w:rPr>
          <w:rFonts w:ascii="Nirmala UI" w:hAnsi="Nirmala UI" w:cs="Nirmala UI"/>
          <w:b/>
          <w:bCs/>
          <w:cs/>
          <w:lang w:bidi="si-LK"/>
        </w:rPr>
      </w:pPr>
      <w:r w:rsidRPr="000D629C">
        <w:rPr>
          <w:rFonts w:ascii="Nirmala UI" w:hAnsi="Nirmala UI" w:cs="Nirmala UI"/>
          <w:b/>
          <w:bCs/>
          <w:cs/>
          <w:lang w:bidi="si-LK"/>
        </w:rPr>
        <w:t>සරණාගතයින් සහ හිටපු සරණාගතයින්</w:t>
      </w:r>
    </w:p>
    <w:p w14:paraId="6ECD5ED9" w14:textId="77777777" w:rsidR="000F1A92" w:rsidRPr="000D629C" w:rsidRDefault="000F1A92" w:rsidP="000364AB">
      <w:pPr>
        <w:pStyle w:val="BodyText"/>
        <w:spacing w:before="200" w:after="200" w:line="249" w:lineRule="auto"/>
        <w:rPr>
          <w:rFonts w:ascii="Nirmala UI" w:hAnsi="Nirmala UI" w:cs="Nirmala UI"/>
          <w:color w:val="231F20"/>
          <w:cs/>
          <w:lang w:bidi="si-LK"/>
        </w:rPr>
      </w:pPr>
      <w:r w:rsidRPr="000D629C">
        <w:rPr>
          <w:rFonts w:ascii="Nirmala UI" w:hAnsi="Nirmala UI" w:cs="Nirmala UI"/>
          <w:color w:val="231F20"/>
          <w:cs/>
          <w:lang w:bidi="si-LK"/>
        </w:rPr>
        <w:t>ඔබ නවසීලන්තයෙන් පිටත සරණාගතයෙකු නම්, නවසීලන්ත රජයට ලබා දිය හැකි සහයෝගයට සැලකිය යුතු සීමාවන් තිබේ.</w:t>
      </w:r>
    </w:p>
    <w:p w14:paraId="65A8D97F" w14:textId="438E59EC" w:rsidR="000F1A92" w:rsidRPr="000D629C" w:rsidRDefault="000F1A92" w:rsidP="004E0872">
      <w:pPr>
        <w:pStyle w:val="BodyText"/>
        <w:spacing w:line="250" w:lineRule="auto"/>
        <w:rPr>
          <w:rFonts w:ascii="Nirmala UI" w:hAnsi="Nirmala UI" w:cs="Nirmala UI"/>
          <w:cs/>
          <w:lang w:bidi="si-LK"/>
        </w:rPr>
      </w:pPr>
      <w:r w:rsidRPr="000D629C">
        <w:rPr>
          <w:rFonts w:ascii="Nirmala UI" w:hAnsi="Nirmala UI" w:cs="Nirmala UI"/>
          <w:color w:val="231F20"/>
          <w:cs/>
          <w:lang w:bidi="si-LK"/>
        </w:rPr>
        <w:t xml:space="preserve">ආරක්ෂිත සංචාරයපිළිබඳ වැඩිදුර තොරතුරු ඔබට සොයාගත හැකිය: </w:t>
      </w:r>
      <w:hyperlink r:id="rId8" w:history="1">
        <w:r w:rsidRPr="000D629C">
          <w:rPr>
            <w:rStyle w:val="Hyperlink"/>
            <w:rFonts w:ascii="Nirmala UI" w:hAnsi="Nirmala UI" w:cs="Nirmala UI"/>
            <w:spacing w:val="-2"/>
            <w:cs/>
            <w:lang w:bidi="si-LK"/>
          </w:rPr>
          <w:t>සරණාගතයින් සහ හිටපු සරණාගතයින්</w:t>
        </w:r>
      </w:hyperlink>
    </w:p>
    <w:p w14:paraId="19ACBA46" w14:textId="77777777" w:rsidR="000F1A92" w:rsidRPr="000D629C" w:rsidRDefault="000F1A92" w:rsidP="004E0872">
      <w:pPr>
        <w:pStyle w:val="Heading2"/>
        <w:pBdr>
          <w:top w:val="single" w:sz="4" w:space="10" w:color="FFE094"/>
          <w:left w:val="single" w:sz="4" w:space="10" w:color="FFE094"/>
          <w:bottom w:val="single" w:sz="4" w:space="10" w:color="FFE094"/>
          <w:right w:val="single" w:sz="4" w:space="10" w:color="FFE094"/>
        </w:pBdr>
        <w:shd w:val="clear" w:color="auto" w:fill="FFE094"/>
        <w:ind w:left="0"/>
        <w:rPr>
          <w:rFonts w:ascii="Nirmala UI" w:hAnsi="Nirmala UI" w:cs="Nirmala UI"/>
          <w:cs/>
          <w:lang w:bidi="si-LK"/>
        </w:rPr>
      </w:pPr>
      <w:r w:rsidRPr="000D629C">
        <w:rPr>
          <w:rFonts w:ascii="Nirmala UI" w:hAnsi="Nirmala UI" w:cs="Nirmala UI"/>
          <w:color w:val="391335"/>
          <w:spacing w:val="-4"/>
          <w:cs/>
          <w:lang w:bidi="si-LK"/>
        </w:rPr>
        <w:t>SafeTravel NZ (සේෆ් ට්රැවල් NZ)</w:t>
      </w:r>
    </w:p>
    <w:p w14:paraId="1272E0CE" w14:textId="27B2000F" w:rsidR="000F1A92" w:rsidRPr="000D629C"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Nirmala UI" w:hAnsi="Nirmala UI" w:cs="Nirmala UI"/>
          <w:cs/>
          <w:lang w:bidi="si-LK"/>
        </w:rPr>
      </w:pPr>
      <w:hyperlink r:id="rId9" w:history="1">
        <w:r w:rsidRPr="000D629C">
          <w:rPr>
            <w:rStyle w:val="Hyperlink"/>
            <w:rFonts w:ascii="Nirmala UI" w:hAnsi="Nirmala UI" w:cs="Nirmala UI"/>
            <w:cs/>
            <w:lang w:bidi="si-LK"/>
          </w:rPr>
          <w:t>SafeTravel NZ</w:t>
        </w:r>
      </w:hyperlink>
      <w:r w:rsidRPr="000D629C">
        <w:rPr>
          <w:rFonts w:ascii="Nirmala UI" w:hAnsi="Nirmala UI" w:cs="Nirmala UI"/>
          <w:color w:val="231F20"/>
          <w:spacing w:val="-4"/>
          <w:w w:val="103"/>
          <w:cs/>
          <w:lang w:bidi="si-LK"/>
        </w:rPr>
        <w:t xml:space="preserve"> යනු විදේශයන්හි සංචාරය කරන හෝ ජීවත්වන නවසීලන්ත ජාතිකයින් සඳහා වන නිල MFAT වෙබ් අඩවිය වන අතර, සංචාරක උපදෙස්, කොන්සියුලර් සේවා, ආරක්ෂක උපදෙස් සහ සංචාරකයින් සඳහා ලියාපදිංචි කිරීමේ පද්ධතියක් ලබා දෙයි.</w:t>
      </w:r>
    </w:p>
    <w:p w14:paraId="745E1D48" w14:textId="537C823E" w:rsidR="00A22050" w:rsidRPr="000D629C"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Nirmala UI" w:hAnsi="Nirmala UI" w:cs="Nirmala UI"/>
          <w:cs/>
          <w:lang w:bidi="si-LK"/>
        </w:rPr>
      </w:pPr>
      <w:r w:rsidRPr="000D629C">
        <w:rPr>
          <w:rFonts w:ascii="Nirmala UI" w:hAnsi="Nirmala UI" w:cs="Nirmala UI"/>
          <w:color w:val="231F20"/>
          <w:spacing w:val="-4"/>
          <w:w w:val="105"/>
          <w:cs/>
          <w:lang w:bidi="si-LK"/>
        </w:rPr>
        <w:t>විදේශගත වීමට පෙර</w:t>
      </w:r>
      <w:r w:rsidR="000F1A92" w:rsidRPr="000D629C">
        <w:rPr>
          <w:rFonts w:ascii="Nirmala UI" w:hAnsi="Nirmala UI" w:cs="Nirmala UI"/>
          <w:color w:val="231F20"/>
          <w:spacing w:val="-7"/>
          <w:w w:val="105"/>
          <w:cs/>
          <w:lang w:bidi="si-LK"/>
        </w:rPr>
        <w:t xml:space="preserve"> </w:t>
      </w:r>
      <w:hyperlink r:id="rId10" w:history="1">
        <w:r w:rsidRPr="000D629C">
          <w:rPr>
            <w:rStyle w:val="Hyperlink"/>
            <w:rFonts w:ascii="Nirmala UI" w:hAnsi="Nirmala UI" w:cs="Nirmala UI"/>
            <w:spacing w:val="-5"/>
            <w:w w:val="105"/>
            <w:cs/>
            <w:lang w:bidi="si-LK"/>
          </w:rPr>
          <w:t>සංචාරකයින් SafeTravel New Zealand</w:t>
        </w:r>
      </w:hyperlink>
      <w:r w:rsidRPr="000D629C">
        <w:rPr>
          <w:rFonts w:ascii="Nirmala UI" w:hAnsi="Nirmala UI" w:cs="Nirmala UI"/>
          <w:color w:val="231F20"/>
          <w:spacing w:val="-5"/>
          <w:w w:val="105"/>
          <w:cs/>
          <w:lang w:bidi="si-LK"/>
        </w:rPr>
        <w:t xml:space="preserve"> සමඟ ලියාපදිංචි විය යුතුය. මෙය MFAT හට කාලෝචිත යාවත්කාලීන කිරීම් සැපයීමට, අවශ්ය නම් සංචාරකයින් සම්බන්ධ කර ගැනීමට සහ හැකි සෑම විටම සහාය ලබා දීමට උපකාරී වේ.</w:t>
      </w:r>
    </w:p>
    <w:sectPr w:rsidR="00A22050" w:rsidRPr="000D629C"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A7D3F" w14:textId="77777777" w:rsidR="00EF4B7F" w:rsidRDefault="00EF4B7F">
      <w:pPr>
        <w:rPr>
          <w:cs/>
          <w:lang w:bidi="si-LK"/>
        </w:rPr>
      </w:pPr>
      <w:r>
        <w:separator/>
      </w:r>
    </w:p>
  </w:endnote>
  <w:endnote w:type="continuationSeparator" w:id="0">
    <w:p w14:paraId="260ECF10" w14:textId="77777777" w:rsidR="00EF4B7F" w:rsidRDefault="00EF4B7F">
      <w:pPr>
        <w:rPr>
          <w:cs/>
          <w:lang w:bidi="si-LK"/>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28641A96" w:rsidR="008F361B" w:rsidRPr="00216311" w:rsidRDefault="00EA4802" w:rsidP="008F361B">
    <w:pPr>
      <w:spacing w:before="22"/>
      <w:rPr>
        <w:rFonts w:ascii="Acumin Pro" w:hAnsi="Acumin Pro" w:cs="Acumin Pro"/>
        <w:b/>
        <w:bCs/>
        <w:sz w:val="20"/>
        <w:szCs w:val="20"/>
        <w:cs/>
        <w:lang w:bidi="si-LK"/>
      </w:rPr>
    </w:pPr>
    <w:r>
      <w:rPr>
        <w:rFonts w:ascii="Acumin Pro" w:hAnsi="Acumin Pro" w:cs="Acumin Pro"/>
        <w:b/>
        <w:bCs/>
        <w:color w:val="391335"/>
        <w:sz w:val="20"/>
        <w:szCs w:val="20"/>
        <w:cs/>
        <w:lang w:bidi="si-LK"/>
      </w:rPr>
      <w:t xml:space="preserve"> </w:t>
    </w:r>
    <w:r>
      <w:rPr>
        <w:rFonts w:ascii="Acumin Pro" w:hAnsi="Acumin Pro" w:cs="Nirmala UI"/>
        <w:b/>
        <w:bCs/>
        <w:color w:val="391335"/>
        <w:sz w:val="20"/>
        <w:szCs w:val="20"/>
        <w:cs/>
        <w:lang w:bidi="si-LK"/>
      </w:rPr>
      <w:t>විදේශ</w:t>
    </w:r>
    <w:r>
      <w:rPr>
        <w:rFonts w:ascii="Acumin Pro" w:hAnsi="Acumin Pro" w:cs="Acumin Pro"/>
        <w:b/>
        <w:bCs/>
        <w:color w:val="391335"/>
        <w:sz w:val="20"/>
        <w:szCs w:val="20"/>
        <w:cs/>
        <w:lang w:bidi="si-LK"/>
      </w:rPr>
      <w:t xml:space="preserve"> </w:t>
    </w:r>
    <w:r>
      <w:rPr>
        <w:rFonts w:ascii="Acumin Pro" w:hAnsi="Acumin Pro" w:cs="Nirmala UI"/>
        <w:b/>
        <w:bCs/>
        <w:color w:val="391335"/>
        <w:sz w:val="20"/>
        <w:szCs w:val="20"/>
        <w:cs/>
        <w:lang w:bidi="si-LK"/>
      </w:rPr>
      <w:t>සංචාර</w:t>
    </w:r>
    <w:r>
      <w:rPr>
        <w:rFonts w:ascii="Acumin Pro" w:hAnsi="Acumin Pro" w:cs="Acumin Pro"/>
        <w:b/>
        <w:bCs/>
        <w:color w:val="391335"/>
        <w:sz w:val="20"/>
        <w:szCs w:val="20"/>
        <w:cs/>
        <w:lang w:bidi="si-LK"/>
      </w:rPr>
      <w:t xml:space="preserve"> </w:t>
    </w:r>
    <w:r>
      <w:rPr>
        <w:rFonts w:ascii="Acumin Pro" w:hAnsi="Acumin Pro" w:cs="Nirmala UI"/>
        <w:b/>
        <w:bCs/>
        <w:color w:val="391335"/>
        <w:sz w:val="20"/>
        <w:szCs w:val="20"/>
        <w:cs/>
        <w:lang w:bidi="si-LK"/>
      </w:rPr>
      <w:t>සහ</w:t>
    </w:r>
    <w:r>
      <w:rPr>
        <w:rFonts w:ascii="Acumin Pro" w:hAnsi="Acumin Pro" w:cs="Acumin Pro"/>
        <w:b/>
        <w:bCs/>
        <w:color w:val="391335"/>
        <w:sz w:val="20"/>
        <w:szCs w:val="20"/>
        <w:cs/>
        <w:lang w:bidi="si-LK"/>
      </w:rPr>
      <w:t xml:space="preserve"> </w:t>
    </w:r>
    <w:r>
      <w:rPr>
        <w:rFonts w:ascii="Acumin Pro" w:hAnsi="Acumin Pro" w:cs="Nirmala UI"/>
        <w:b/>
        <w:bCs/>
        <w:color w:val="391335"/>
        <w:sz w:val="20"/>
        <w:szCs w:val="20"/>
        <w:cs/>
        <w:lang w:bidi="si-LK"/>
      </w:rPr>
      <w:t>විදේශීය</w:t>
    </w:r>
    <w:r>
      <w:rPr>
        <w:rFonts w:ascii="Acumin Pro" w:hAnsi="Acumin Pro" w:cs="Acumin Pro"/>
        <w:b/>
        <w:bCs/>
        <w:color w:val="391335"/>
        <w:sz w:val="20"/>
        <w:szCs w:val="20"/>
        <w:cs/>
        <w:lang w:bidi="si-LK"/>
      </w:rPr>
      <w:t xml:space="preserve"> </w:t>
    </w:r>
    <w:r>
      <w:rPr>
        <w:rFonts w:ascii="Acumin Pro" w:hAnsi="Acumin Pro" w:cs="Nirmala UI"/>
        <w:b/>
        <w:bCs/>
        <w:color w:val="391335"/>
        <w:sz w:val="20"/>
        <w:szCs w:val="20"/>
        <w:cs/>
        <w:lang w:bidi="si-LK"/>
      </w:rPr>
      <w:t>මැදිහත්වීම්</w:t>
    </w:r>
    <w:r>
      <w:rPr>
        <w:rFonts w:ascii="Acumin Pro" w:hAnsi="Acumin Pro" w:cs="Acumin Pro"/>
        <w:b/>
        <w:bCs/>
        <w:color w:val="391335"/>
        <w:sz w:val="20"/>
        <w:szCs w:val="20"/>
        <w:cs/>
        <w:lang w:bidi="si-LK"/>
      </w:rPr>
      <w:t xml:space="preserve"> </w:t>
    </w:r>
    <w:r w:rsidR="008F361B">
      <w:rPr>
        <w:rFonts w:ascii="Acumin Pro" w:hAnsi="Acumin Pro" w:cs="Acumin Pro"/>
        <w:b/>
        <w:bCs/>
        <w:color w:val="391335"/>
        <w:sz w:val="20"/>
        <w:szCs w:val="20"/>
        <w:cs/>
        <w:lang w:bidi="si-LK"/>
      </w:rPr>
      <w:tab/>
    </w:r>
    <w:r w:rsidR="008F361B">
      <w:rPr>
        <w:rFonts w:ascii="Acumin Pro" w:hAnsi="Acumin Pro" w:cs="Acumin Pro"/>
        <w:b/>
        <w:bCs/>
        <w:color w:val="391335"/>
        <w:sz w:val="20"/>
        <w:szCs w:val="20"/>
        <w:cs/>
        <w:lang w:bidi="si-LK"/>
      </w:rPr>
      <w:tab/>
    </w:r>
    <w:r w:rsidR="008F361B">
      <w:rPr>
        <w:rFonts w:ascii="Acumin Pro" w:hAnsi="Acumin Pro" w:cs="Acumin Pro"/>
        <w:b/>
        <w:bCs/>
        <w:color w:val="391335"/>
        <w:sz w:val="20"/>
        <w:szCs w:val="20"/>
        <w:cs/>
        <w:lang w:bidi="si-LK"/>
      </w:rPr>
      <w:tab/>
    </w:r>
    <w:r w:rsidR="008F361B">
      <w:rPr>
        <w:rFonts w:ascii="Acumin Pro" w:hAnsi="Acumin Pro" w:cs="Acumin Pro"/>
        <w:b/>
        <w:bCs/>
        <w:color w:val="391335"/>
        <w:sz w:val="20"/>
        <w:szCs w:val="20"/>
        <w:cs/>
        <w:lang w:bidi="si-LK"/>
      </w:rPr>
      <w:tab/>
    </w:r>
    <w:r w:rsidR="008F361B">
      <w:rPr>
        <w:rFonts w:ascii="Acumin Pro" w:hAnsi="Acumin Pro" w:cs="Acumin Pro"/>
        <w:b/>
        <w:bCs/>
        <w:color w:val="391335"/>
        <w:sz w:val="20"/>
        <w:szCs w:val="20"/>
        <w:cs/>
        <w:lang w:bidi="si-LK"/>
      </w:rPr>
      <w:tab/>
    </w:r>
    <w:r w:rsidR="008F361B">
      <w:rPr>
        <w:rFonts w:ascii="Acumin Pro" w:hAnsi="Acumin Pro" w:cs="Acumin Pro"/>
        <w:b/>
        <w:bCs/>
        <w:color w:val="391335"/>
        <w:sz w:val="20"/>
        <w:szCs w:val="20"/>
        <w:cs/>
        <w:lang w:bidi="si-LK"/>
      </w:rPr>
      <w:tab/>
    </w:r>
    <w:r w:rsidR="008F361B" w:rsidRPr="00216311">
      <w:rPr>
        <w:rFonts w:ascii="Acumin Pro" w:hAnsi="Acumin Pro" w:cs="Acumin Pro"/>
        <w:b/>
        <w:bCs/>
        <w:color w:val="391335"/>
        <w:spacing w:val="-2"/>
        <w:sz w:val="20"/>
        <w:szCs w:val="20"/>
        <w:cs/>
        <w:lang w:bidi="si-LK"/>
      </w:rPr>
      <w:tab/>
    </w:r>
    <w:sdt>
      <w:sdtPr>
        <w:rPr>
          <w:rFonts w:ascii="Acumin Pro" w:hAnsi="Acumin Pro"/>
          <w:sz w:val="20"/>
          <w:szCs w:val="20"/>
        </w:rPr>
        <w:id w:val="-1110124414"/>
        <w:docPartObj>
          <w:docPartGallery w:val="Page Numbers (Bottom of Page)"/>
          <w:docPartUnique/>
        </w:docPartObj>
      </w:sdtPr>
      <w:sdtContent>
        <w:r w:rsidR="008F361B" w:rsidRPr="00216311">
          <w:rPr>
            <w:rFonts w:ascii="Acumin Pro" w:hAnsi="Acumin Pro"/>
            <w:sz w:val="20"/>
            <w:szCs w:val="20"/>
          </w:rPr>
          <w:fldChar w:fldCharType="begin"/>
        </w:r>
        <w:r w:rsidR="008F361B" w:rsidRPr="00216311">
          <w:rPr>
            <w:rFonts w:ascii="Acumin Pro" w:hAnsi="Acumin Pro" w:cs="Acumin Pro"/>
            <w:sz w:val="20"/>
            <w:szCs w:val="20"/>
            <w:cs/>
            <w:lang w:bidi="si-LK"/>
          </w:rPr>
          <w:instrText xml:space="preserve"> PAGE   \* MERGEFORMAT </w:instrText>
        </w:r>
        <w:r w:rsidR="008F361B" w:rsidRPr="00216311">
          <w:rPr>
            <w:rFonts w:ascii="Acumin Pro" w:hAnsi="Acumin Pro"/>
            <w:sz w:val="20"/>
            <w:szCs w:val="20"/>
          </w:rPr>
          <w:fldChar w:fldCharType="separate"/>
        </w:r>
        <w:r w:rsidR="000D629C" w:rsidRPr="000D629C">
          <w:rPr>
            <w:rFonts w:ascii="Acumin Pro" w:hAnsi="Acumin Pro" w:cs="Acumin Pro"/>
            <w:noProof/>
            <w:sz w:val="20"/>
            <w:szCs w:val="20"/>
            <w:cs/>
            <w:lang w:bidi="si-LK"/>
          </w:rPr>
          <w:t>1</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szCs w:val="20"/>
        <w:cs/>
        <w:lang w:bidi="si-LK"/>
      </w:rPr>
    </w:pPr>
  </w:p>
  <w:p w14:paraId="01EBB0C5" w14:textId="77777777" w:rsidR="008F361B" w:rsidRPr="00FE2C56" w:rsidRDefault="008F361B" w:rsidP="008F361B">
    <w:pPr>
      <w:pStyle w:val="BodyText"/>
      <w:spacing w:line="14" w:lineRule="auto"/>
      <w:rPr>
        <w:sz w:val="20"/>
        <w:szCs w:val="20"/>
        <w:cs/>
        <w:lang w:bidi="si-LK"/>
      </w:rPr>
    </w:pPr>
  </w:p>
  <w:p w14:paraId="229436BC" w14:textId="49E928AB" w:rsidR="009C2AD2" w:rsidRDefault="009C2AD2">
    <w:pPr>
      <w:pStyle w:val="BodyText"/>
      <w:spacing w:line="14" w:lineRule="auto"/>
      <w:rPr>
        <w:sz w:val="20"/>
        <w:szCs w:val="20"/>
        <w:cs/>
        <w:lang w:bidi="si-L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EDD65" w14:textId="77777777" w:rsidR="00EF4B7F" w:rsidRDefault="00EF4B7F">
      <w:pPr>
        <w:rPr>
          <w:cs/>
          <w:lang w:bidi="si-LK"/>
        </w:rPr>
      </w:pPr>
      <w:r>
        <w:separator/>
      </w:r>
    </w:p>
  </w:footnote>
  <w:footnote w:type="continuationSeparator" w:id="0">
    <w:p w14:paraId="4A1F1348" w14:textId="77777777" w:rsidR="00EF4B7F" w:rsidRDefault="00EF4B7F">
      <w:pPr>
        <w:rPr>
          <w:cs/>
          <w:lang w:bidi="si-LK"/>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rPr>
        <w:cs/>
        <w:lang w:bidi="si-LK"/>
      </w:rPr>
    </w:pPr>
    <w:r>
      <w:rPr>
        <w:noProof/>
        <w:lang w:val="en-US" w:bidi="hi-IN"/>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szCs w:val="20"/>
        <w:cs/>
        <w:lang w:bidi="si-LK"/>
      </w:rPr>
    </w:pPr>
  </w:p>
  <w:p w14:paraId="73908609" w14:textId="77777777" w:rsidR="00203879" w:rsidRPr="006B40DA" w:rsidRDefault="00203879" w:rsidP="00203879">
    <w:pPr>
      <w:pStyle w:val="Header"/>
      <w:rPr>
        <w:cs/>
        <w:lang w:bidi="si-LK"/>
      </w:rPr>
    </w:pPr>
  </w:p>
  <w:p w14:paraId="229436BB" w14:textId="791BE5B4" w:rsidR="009C2AD2" w:rsidRPr="00203879" w:rsidRDefault="009C2AD2" w:rsidP="00203879">
    <w:pPr>
      <w:pStyle w:val="Header"/>
      <w:rPr>
        <w:cs/>
        <w:lang w:bidi="si-L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i-LK" w:eastAsia="en-US" w:bidi="ar-SA"/>
      </w:rPr>
    </w:lvl>
    <w:lvl w:ilvl="1" w:tplc="D2467CCA">
      <w:numFmt w:val="bullet"/>
      <w:lvlText w:val="•"/>
      <w:lvlJc w:val="left"/>
      <w:pPr>
        <w:ind w:left="2018" w:hanging="360"/>
      </w:pPr>
      <w:rPr>
        <w:rFonts w:hint="default"/>
        <w:lang w:val="si-LK" w:eastAsia="en-US" w:bidi="ar-SA"/>
      </w:rPr>
    </w:lvl>
    <w:lvl w:ilvl="2" w:tplc="EC5E537C">
      <w:numFmt w:val="bullet"/>
      <w:lvlText w:val="•"/>
      <w:lvlJc w:val="left"/>
      <w:pPr>
        <w:ind w:left="2896" w:hanging="360"/>
      </w:pPr>
      <w:rPr>
        <w:rFonts w:hint="default"/>
        <w:lang w:val="si-LK" w:eastAsia="en-US" w:bidi="ar-SA"/>
      </w:rPr>
    </w:lvl>
    <w:lvl w:ilvl="3" w:tplc="2378FF3E">
      <w:numFmt w:val="bullet"/>
      <w:lvlText w:val="•"/>
      <w:lvlJc w:val="left"/>
      <w:pPr>
        <w:ind w:left="3774" w:hanging="360"/>
      </w:pPr>
      <w:rPr>
        <w:rFonts w:hint="default"/>
        <w:lang w:val="si-LK" w:eastAsia="en-US" w:bidi="ar-SA"/>
      </w:rPr>
    </w:lvl>
    <w:lvl w:ilvl="4" w:tplc="B52A7B3C">
      <w:numFmt w:val="bullet"/>
      <w:lvlText w:val="•"/>
      <w:lvlJc w:val="left"/>
      <w:pPr>
        <w:ind w:left="4653" w:hanging="360"/>
      </w:pPr>
      <w:rPr>
        <w:rFonts w:hint="default"/>
        <w:lang w:val="si-LK" w:eastAsia="en-US" w:bidi="ar-SA"/>
      </w:rPr>
    </w:lvl>
    <w:lvl w:ilvl="5" w:tplc="0A8E574A">
      <w:numFmt w:val="bullet"/>
      <w:lvlText w:val="•"/>
      <w:lvlJc w:val="left"/>
      <w:pPr>
        <w:ind w:left="5531" w:hanging="360"/>
      </w:pPr>
      <w:rPr>
        <w:rFonts w:hint="default"/>
        <w:lang w:val="si-LK" w:eastAsia="en-US" w:bidi="ar-SA"/>
      </w:rPr>
    </w:lvl>
    <w:lvl w:ilvl="6" w:tplc="3B34AFD2">
      <w:numFmt w:val="bullet"/>
      <w:lvlText w:val="•"/>
      <w:lvlJc w:val="left"/>
      <w:pPr>
        <w:ind w:left="6409" w:hanging="360"/>
      </w:pPr>
      <w:rPr>
        <w:rFonts w:hint="default"/>
        <w:lang w:val="si-LK" w:eastAsia="en-US" w:bidi="ar-SA"/>
      </w:rPr>
    </w:lvl>
    <w:lvl w:ilvl="7" w:tplc="B4721A5E">
      <w:numFmt w:val="bullet"/>
      <w:lvlText w:val="•"/>
      <w:lvlJc w:val="left"/>
      <w:pPr>
        <w:ind w:left="7287" w:hanging="360"/>
      </w:pPr>
      <w:rPr>
        <w:rFonts w:hint="default"/>
        <w:lang w:val="si-LK" w:eastAsia="en-US" w:bidi="ar-SA"/>
      </w:rPr>
    </w:lvl>
    <w:lvl w:ilvl="8" w:tplc="FF8AE3C2">
      <w:numFmt w:val="bullet"/>
      <w:lvlText w:val="•"/>
      <w:lvlJc w:val="left"/>
      <w:pPr>
        <w:ind w:left="8166" w:hanging="360"/>
      </w:pPr>
      <w:rPr>
        <w:rFonts w:hint="default"/>
        <w:lang w:val="si-LK"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3089076">
    <w:abstractNumId w:val="2"/>
  </w:num>
  <w:num w:numId="2" w16cid:durableId="1989901070">
    <w:abstractNumId w:val="3"/>
  </w:num>
  <w:num w:numId="3" w16cid:durableId="1217545533">
    <w:abstractNumId w:val="1"/>
  </w:num>
  <w:num w:numId="4" w16cid:durableId="1339389528">
    <w:abstractNumId w:val="4"/>
  </w:num>
  <w:num w:numId="5" w16cid:durableId="947393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64AB"/>
    <w:rsid w:val="0004060A"/>
    <w:rsid w:val="000478ED"/>
    <w:rsid w:val="00047B29"/>
    <w:rsid w:val="00050822"/>
    <w:rsid w:val="000630D6"/>
    <w:rsid w:val="00066891"/>
    <w:rsid w:val="0008019C"/>
    <w:rsid w:val="00081C60"/>
    <w:rsid w:val="000B2ABB"/>
    <w:rsid w:val="000B769F"/>
    <w:rsid w:val="000C3376"/>
    <w:rsid w:val="000D27EC"/>
    <w:rsid w:val="000D2FEE"/>
    <w:rsid w:val="000D629C"/>
    <w:rsid w:val="000D7DC8"/>
    <w:rsid w:val="000E7534"/>
    <w:rsid w:val="000F1A92"/>
    <w:rsid w:val="000F75AD"/>
    <w:rsid w:val="001039C9"/>
    <w:rsid w:val="001073A0"/>
    <w:rsid w:val="0011308E"/>
    <w:rsid w:val="00113B06"/>
    <w:rsid w:val="00130C4F"/>
    <w:rsid w:val="00130D4A"/>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6102"/>
    <w:rsid w:val="002D6D45"/>
    <w:rsid w:val="002E3E01"/>
    <w:rsid w:val="002F11F0"/>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5645A"/>
    <w:rsid w:val="0046523A"/>
    <w:rsid w:val="00466BA9"/>
    <w:rsid w:val="00475CCC"/>
    <w:rsid w:val="004A0136"/>
    <w:rsid w:val="004A37E0"/>
    <w:rsid w:val="004A7A9B"/>
    <w:rsid w:val="004B3215"/>
    <w:rsid w:val="004E0872"/>
    <w:rsid w:val="004E4F55"/>
    <w:rsid w:val="004E5BFB"/>
    <w:rsid w:val="004F1949"/>
    <w:rsid w:val="004F4CF3"/>
    <w:rsid w:val="005000E9"/>
    <w:rsid w:val="00507EDE"/>
    <w:rsid w:val="0051521A"/>
    <w:rsid w:val="00533A0D"/>
    <w:rsid w:val="00534A20"/>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3504D"/>
    <w:rsid w:val="00836104"/>
    <w:rsid w:val="00843CF4"/>
    <w:rsid w:val="008601FE"/>
    <w:rsid w:val="00887BA6"/>
    <w:rsid w:val="00887C79"/>
    <w:rsid w:val="008C1442"/>
    <w:rsid w:val="008C2A16"/>
    <w:rsid w:val="008D468B"/>
    <w:rsid w:val="008D5688"/>
    <w:rsid w:val="008E3714"/>
    <w:rsid w:val="008F361B"/>
    <w:rsid w:val="00905CB0"/>
    <w:rsid w:val="009176E1"/>
    <w:rsid w:val="009372BD"/>
    <w:rsid w:val="009477B7"/>
    <w:rsid w:val="00950101"/>
    <w:rsid w:val="00961B83"/>
    <w:rsid w:val="00971511"/>
    <w:rsid w:val="00995E84"/>
    <w:rsid w:val="009976E3"/>
    <w:rsid w:val="009A67F6"/>
    <w:rsid w:val="009B55E4"/>
    <w:rsid w:val="009C2AD2"/>
    <w:rsid w:val="009E575D"/>
    <w:rsid w:val="00A014C6"/>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11FA"/>
    <w:rsid w:val="00B23568"/>
    <w:rsid w:val="00B30B22"/>
    <w:rsid w:val="00B53526"/>
    <w:rsid w:val="00B81A37"/>
    <w:rsid w:val="00B83161"/>
    <w:rsid w:val="00B935C4"/>
    <w:rsid w:val="00B95C2E"/>
    <w:rsid w:val="00B95D86"/>
    <w:rsid w:val="00B96690"/>
    <w:rsid w:val="00BB0D32"/>
    <w:rsid w:val="00BE258E"/>
    <w:rsid w:val="00BE70BC"/>
    <w:rsid w:val="00C1119A"/>
    <w:rsid w:val="00C14765"/>
    <w:rsid w:val="00C30E6F"/>
    <w:rsid w:val="00C55FAC"/>
    <w:rsid w:val="00C61085"/>
    <w:rsid w:val="00C65ECF"/>
    <w:rsid w:val="00C727E3"/>
    <w:rsid w:val="00C87895"/>
    <w:rsid w:val="00C9262E"/>
    <w:rsid w:val="00C96073"/>
    <w:rsid w:val="00C966DB"/>
    <w:rsid w:val="00CA3901"/>
    <w:rsid w:val="00CB0646"/>
    <w:rsid w:val="00CB1968"/>
    <w:rsid w:val="00CB3198"/>
    <w:rsid w:val="00CF7A2C"/>
    <w:rsid w:val="00D01D48"/>
    <w:rsid w:val="00D0646C"/>
    <w:rsid w:val="00D27A26"/>
    <w:rsid w:val="00D607CB"/>
    <w:rsid w:val="00D8626E"/>
    <w:rsid w:val="00D92D80"/>
    <w:rsid w:val="00DA2D96"/>
    <w:rsid w:val="00DB523A"/>
    <w:rsid w:val="00DC4A0C"/>
    <w:rsid w:val="00E16713"/>
    <w:rsid w:val="00E337DE"/>
    <w:rsid w:val="00E4555C"/>
    <w:rsid w:val="00E45C92"/>
    <w:rsid w:val="00E64873"/>
    <w:rsid w:val="00E71845"/>
    <w:rsid w:val="00E74460"/>
    <w:rsid w:val="00E82969"/>
    <w:rsid w:val="00E956A8"/>
    <w:rsid w:val="00EA0987"/>
    <w:rsid w:val="00EA4802"/>
    <w:rsid w:val="00ED51CC"/>
    <w:rsid w:val="00EE0CCE"/>
    <w:rsid w:val="00EE526F"/>
    <w:rsid w:val="00EF4B7F"/>
    <w:rsid w:val="00EF57A8"/>
    <w:rsid w:val="00EF5A32"/>
    <w:rsid w:val="00F067B1"/>
    <w:rsid w:val="00F11AC5"/>
    <w:rsid w:val="00F177A4"/>
    <w:rsid w:val="00F225D0"/>
    <w:rsid w:val="00F27982"/>
    <w:rsid w:val="00F32C02"/>
    <w:rsid w:val="00F4150A"/>
    <w:rsid w:val="00F565EC"/>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i-LK"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customStyle="1" w:styleId="UnresolvedMention1">
    <w:name w:val="Unresolved Mention1"/>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CRFIWEBSITE-145050222-513</_dlc_DocId>
    <_dlc_DocIdUrl xmlns="c78cdbf8-4243-4362-8765-2acd0e03065b">
      <Url>https://azurediagovt.sharepoint.com/sites/EXT-CommunityResiliencetoForeignInterferencewebsite_MEC/_layouts/15/DocIdRedir.aspx?ID=CRFIWEBSITE-145050222-513</Url>
      <Description>CRFIWEBSITE-145050222-513</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50CD3ADA-4857-41CA-A42F-3D83FC245333}"/>
</file>

<file path=customXml/itemProps2.xml><?xml version="1.0" encoding="utf-8"?>
<ds:datastoreItem xmlns:ds="http://schemas.openxmlformats.org/officeDocument/2006/customXml" ds:itemID="{B7FEB052-64BE-40D6-B2BA-B63AFB5C89B0}"/>
</file>

<file path=customXml/itemProps3.xml><?xml version="1.0" encoding="utf-8"?>
<ds:datastoreItem xmlns:ds="http://schemas.openxmlformats.org/officeDocument/2006/customXml" ds:itemID="{BA88BC53-749F-41AD-AA1C-49AAEB4E190E}"/>
</file>

<file path=customXml/itemProps4.xml><?xml version="1.0" encoding="utf-8"?>
<ds:datastoreItem xmlns:ds="http://schemas.openxmlformats.org/officeDocument/2006/customXml" ds:itemID="{E6D329BC-0E67-49B4-85C6-08BD0460CD76}"/>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2942</Characters>
  <Application>Microsoft Office Word</Application>
  <DocSecurity>2</DocSecurity>
  <Lines>24</Lines>
  <Paragraphs>6</Paragraphs>
  <ScaleCrop>false</ScaleCrop>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2026-08-10T19:56:00Z</dcterms:created>
  <dcterms:modified xsi:type="dcterms:W3CDTF">2026-08-10T19:56:00Z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850300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c0f450ae-eb5e-46fe-8a30-841408cb7c38</vt:lpwstr>
  </property>
  <property fmtid="{D5CDD505-2E9C-101B-9397-08002B2CF9AE}" pid="14" name="DIASecurityClassification">
    <vt:i4>2</vt:i4>
  </property>
  <property fmtid="{D5CDD505-2E9C-101B-9397-08002B2CF9AE}" pid="15" name="TriggerFlowInfo">
    <vt:lpwstr/>
  </property>
</Properties>
</file>