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46AFE326" w:rsidR="00D43421" w:rsidRPr="00B5655B" w:rsidRDefault="00E10B9D" w:rsidP="00FA6638">
      <w:pPr>
        <w:pStyle w:val="Heading1"/>
        <w:ind w:left="0"/>
        <w:rPr>
          <w:rFonts w:ascii="Acumin Pro" w:hAnsi="Acumin Pro"/>
          <w:color w:val="391335"/>
        </w:rPr>
      </w:pPr>
      <w:r w:rsidRPr="00E10B9D">
        <w:rPr>
          <w:rFonts w:ascii="Acumin Pro" w:hAnsi="Acumin Pro"/>
          <w:color w:val="391335"/>
          <w:spacing w:val="-2"/>
        </w:rPr>
        <w:t>Crimes (Countering Foreign Interference) Amendment Act 2025</w:t>
      </w:r>
    </w:p>
    <w:p w14:paraId="069434BF" w14:textId="3435F86E" w:rsidR="00D43421" w:rsidRPr="00B5655B" w:rsidRDefault="008F5FC8" w:rsidP="007D1386">
      <w:pPr>
        <w:pStyle w:val="Heading2"/>
        <w:tabs>
          <w:tab w:val="left" w:pos="8613"/>
        </w:tabs>
        <w:spacing w:before="360"/>
        <w:ind w:left="0"/>
        <w:rPr>
          <w:rFonts w:ascii="Acumin Pro" w:hAnsi="Acumin Pro"/>
          <w:color w:val="391335"/>
        </w:rPr>
      </w:pPr>
      <w:r w:rsidRPr="008F5FC8">
        <w:rPr>
          <w:rFonts w:ascii="Acumin Pro" w:hAnsi="Acumin Pro"/>
          <w:color w:val="391335"/>
        </w:rPr>
        <w:t>New foreign interference offences</w:t>
      </w:r>
    </w:p>
    <w:p w14:paraId="2D99B31A" w14:textId="77777777" w:rsidR="00814EF6" w:rsidRPr="00814EF6" w:rsidRDefault="00814EF6" w:rsidP="00814EF6">
      <w:pPr>
        <w:pStyle w:val="BodyText"/>
        <w:spacing w:before="200" w:after="200" w:line="249" w:lineRule="auto"/>
        <w:rPr>
          <w:rFonts w:ascii="Acumin Pro" w:hAnsi="Acumin Pro"/>
          <w:color w:val="231F20"/>
        </w:rPr>
      </w:pPr>
      <w:r w:rsidRPr="00814EF6">
        <w:rPr>
          <w:rFonts w:ascii="Acumin Pro" w:hAnsi="Acumin Pro"/>
          <w:color w:val="231F20"/>
        </w:rPr>
        <w:t>In November 2025, Parliament passed the Crimes (Countering Foreign Interference) Amendment Act 2025 to strengthen New Zealand’s criminal justice response to foreign interference and espionage. The Act came into force on 27 November 2025.</w:t>
      </w:r>
    </w:p>
    <w:p w14:paraId="40F9C914" w14:textId="77777777" w:rsidR="00814EF6" w:rsidRPr="00814EF6" w:rsidRDefault="00814EF6" w:rsidP="00814EF6">
      <w:pPr>
        <w:pStyle w:val="BodyText"/>
        <w:spacing w:before="200" w:after="200" w:line="249" w:lineRule="auto"/>
        <w:rPr>
          <w:rFonts w:ascii="Acumin Pro" w:hAnsi="Acumin Pro"/>
          <w:color w:val="231F20"/>
        </w:rPr>
      </w:pPr>
      <w:r w:rsidRPr="00814EF6">
        <w:rPr>
          <w:rFonts w:ascii="Acumin Pro" w:hAnsi="Acumin Pro"/>
          <w:color w:val="231F20"/>
        </w:rPr>
        <w:t>The criminal law holds people to account for committing harmful acts. The Act responds to harmful foreign interference in several ways, primarily by adding two new offences to the law that contains many of New Zealand’s serious offences – the Crimes Act 1961.</w:t>
      </w:r>
    </w:p>
    <w:p w14:paraId="19C11EC4" w14:textId="4A3831DB" w:rsidR="006F529F" w:rsidRPr="00554FBC" w:rsidRDefault="00814EF6" w:rsidP="00D6680C">
      <w:pPr>
        <w:pStyle w:val="BodyText"/>
        <w:spacing w:before="200" w:line="249" w:lineRule="auto"/>
      </w:pPr>
      <w:r w:rsidRPr="00814EF6">
        <w:rPr>
          <w:rFonts w:ascii="Acumin Pro" w:hAnsi="Acumin Pro"/>
          <w:color w:val="231F20"/>
        </w:rPr>
        <w:t>The Act is part of a wider cross-government work programme intended to counter foreign interference from any country. By strengthening New Zealand’s criminal justice response to foreign interference, the Act enhances our overall resilience to this unacceptable activity.</w:t>
      </w:r>
      <w:r>
        <w:t xml:space="preserve"> </w:t>
      </w:r>
    </w:p>
    <w:p w14:paraId="6A8D6A7C" w14:textId="05FCD514" w:rsidR="00814EF6" w:rsidRPr="00B5655B" w:rsidRDefault="0046369E" w:rsidP="0068699E">
      <w:pPr>
        <w:pStyle w:val="Heading2"/>
        <w:pBdr>
          <w:top w:val="single" w:sz="4" w:space="10" w:color="CEE6E9"/>
          <w:left w:val="single" w:sz="4" w:space="10" w:color="CEE6E9"/>
          <w:bottom w:val="single" w:sz="4" w:space="10" w:color="CEE6E9"/>
          <w:right w:val="single" w:sz="4" w:space="10" w:color="CEE6E9"/>
        </w:pBdr>
        <w:shd w:val="clear" w:color="auto" w:fill="CEE6E9"/>
        <w:spacing w:before="400"/>
        <w:ind w:left="0"/>
        <w:rPr>
          <w:rFonts w:ascii="Acumin Pro" w:hAnsi="Acumin Pro"/>
          <w:color w:val="391335"/>
        </w:rPr>
      </w:pPr>
      <w:r w:rsidRPr="004347F7">
        <w:rPr>
          <w:rFonts w:ascii="Acumin Pro" w:hAnsi="Acumin Pro"/>
          <w:color w:val="391335"/>
        </w:rPr>
        <w:t>What is foreign interference?</w:t>
      </w:r>
    </w:p>
    <w:p w14:paraId="76656A5A" w14:textId="77777777" w:rsidR="00562D72" w:rsidRPr="00562D72" w:rsidRDefault="00562D72" w:rsidP="0068699E">
      <w:pPr>
        <w:pStyle w:val="BodyText"/>
        <w:pBdr>
          <w:top w:val="single" w:sz="4" w:space="10" w:color="CEE6E9"/>
          <w:left w:val="single" w:sz="4" w:space="10" w:color="CEE6E9"/>
          <w:bottom w:val="single" w:sz="4" w:space="10" w:color="CEE6E9"/>
          <w:right w:val="single" w:sz="4" w:space="10" w:color="CEE6E9"/>
        </w:pBdr>
        <w:shd w:val="clear" w:color="auto" w:fill="CEE6E9"/>
        <w:spacing w:before="200" w:after="300" w:line="249" w:lineRule="auto"/>
        <w:rPr>
          <w:rFonts w:ascii="Acumin Pro" w:hAnsi="Acumin Pro"/>
          <w:color w:val="231F20"/>
        </w:rPr>
      </w:pPr>
      <w:r w:rsidRPr="00562D72">
        <w:rPr>
          <w:rFonts w:ascii="Acumin Pro" w:hAnsi="Acumin Pro"/>
          <w:color w:val="231F20"/>
        </w:rPr>
        <w:t>The New Zealand Security Intelligence Service (NZSIS) defines foreign interference as an act by a foreign state, often acting through a proxy, which is intended to influence, disrupt or subvert New Zealand’s national interests by deceptive, corruptive or coercive means. Normal diplomatic activity, lobbying and other genuine, overt efforts to gain influence are not considered interference.</w:t>
      </w:r>
    </w:p>
    <w:p w14:paraId="3FD3E7AF" w14:textId="2CE5973A" w:rsidR="00562D72" w:rsidRPr="00A80DF4" w:rsidRDefault="00A80DF4" w:rsidP="0068699E">
      <w:pPr>
        <w:pStyle w:val="BodyText"/>
        <w:pBdr>
          <w:top w:val="single" w:sz="4" w:space="10" w:color="CEE6E9"/>
          <w:left w:val="single" w:sz="4" w:space="10" w:color="CEE6E9"/>
          <w:bottom w:val="single" w:sz="4" w:space="10" w:color="CEE6E9"/>
          <w:right w:val="single" w:sz="4" w:space="10" w:color="CEE6E9"/>
        </w:pBdr>
        <w:shd w:val="clear" w:color="auto" w:fill="CEE6E9"/>
        <w:spacing w:before="200" w:after="200" w:line="249" w:lineRule="auto"/>
        <w:rPr>
          <w:rStyle w:val="Hyperlink"/>
          <w:rFonts w:ascii="Acumin Pro" w:hAnsi="Acumin Pro"/>
        </w:rPr>
      </w:pPr>
      <w:r>
        <w:rPr>
          <w:rFonts w:ascii="Acumin Pro" w:hAnsi="Acumin Pro"/>
        </w:rPr>
        <w:fldChar w:fldCharType="begin"/>
      </w:r>
      <w:r>
        <w:rPr>
          <w:rFonts w:ascii="Acumin Pro" w:hAnsi="Acumin Pro"/>
        </w:rPr>
        <w:instrText>HYPERLINK "https://www.crfi.govt.nz/recognise/fi-nz"</w:instrText>
      </w:r>
      <w:r>
        <w:rPr>
          <w:rFonts w:ascii="Acumin Pro" w:hAnsi="Acumin Pro"/>
        </w:rPr>
      </w:r>
      <w:r>
        <w:rPr>
          <w:rFonts w:ascii="Acumin Pro" w:hAnsi="Acumin Pro"/>
        </w:rPr>
        <w:fldChar w:fldCharType="separate"/>
      </w:r>
      <w:r w:rsidR="00562D72" w:rsidRPr="00A80DF4">
        <w:rPr>
          <w:rStyle w:val="Hyperlink"/>
          <w:rFonts w:ascii="Acumin Pro" w:hAnsi="Acumin Pro"/>
        </w:rPr>
        <w:t xml:space="preserve">Learn more about foreign interference impacting Ethnic Communities here </w:t>
      </w:r>
    </w:p>
    <w:p w14:paraId="2EA3F8B9" w14:textId="3AFC3E90" w:rsidR="00E93B9C" w:rsidRDefault="00A80DF4" w:rsidP="0068699E">
      <w:pPr>
        <w:pStyle w:val="BodyText"/>
        <w:pBdr>
          <w:top w:val="single" w:sz="4" w:space="10" w:color="CEE6E9"/>
          <w:left w:val="single" w:sz="4" w:space="10" w:color="CEE6E9"/>
          <w:bottom w:val="single" w:sz="4" w:space="10" w:color="CEE6E9"/>
          <w:right w:val="single" w:sz="4" w:space="10" w:color="CEE6E9"/>
        </w:pBdr>
        <w:shd w:val="clear" w:color="auto" w:fill="CEE6E9"/>
        <w:spacing w:before="200" w:after="200" w:line="249" w:lineRule="auto"/>
        <w:rPr>
          <w:rFonts w:ascii="Acumin Pro" w:hAnsi="Acumin Pro"/>
          <w:color w:val="231F20"/>
        </w:rPr>
      </w:pPr>
      <w:r>
        <w:rPr>
          <w:rFonts w:ascii="Acumin Pro" w:hAnsi="Acumin Pro"/>
        </w:rPr>
        <w:fldChar w:fldCharType="end"/>
      </w:r>
      <w:hyperlink r:id="rId8" w:history="1">
        <w:r w:rsidR="00562D72" w:rsidRPr="00DB5367">
          <w:rPr>
            <w:rStyle w:val="Hyperlink"/>
            <w:rFonts w:ascii="Acumin Pro" w:hAnsi="Acumin Pro"/>
          </w:rPr>
          <w:t>Find out how to report foreign interference here</w:t>
        </w:r>
      </w:hyperlink>
      <w:r w:rsidR="00E93B9C">
        <w:rPr>
          <w:rFonts w:ascii="Acumin Pro" w:hAnsi="Acumin Pro"/>
          <w:color w:val="231F20"/>
        </w:rPr>
        <w:br w:type="page"/>
      </w:r>
    </w:p>
    <w:p w14:paraId="7BB084F3" w14:textId="442822F9" w:rsidR="0059166B" w:rsidRPr="00B5655B" w:rsidRDefault="00590A72" w:rsidP="000D2BC0">
      <w:pPr>
        <w:pStyle w:val="Heading2"/>
        <w:ind w:left="0"/>
        <w:rPr>
          <w:rFonts w:ascii="Acumin Pro" w:hAnsi="Acumin Pro"/>
          <w:color w:val="391335"/>
        </w:rPr>
      </w:pPr>
      <w:r w:rsidRPr="00590A72">
        <w:rPr>
          <w:rFonts w:ascii="Acumin Pro" w:hAnsi="Acumin Pro"/>
          <w:color w:val="391335"/>
        </w:rPr>
        <w:lastRenderedPageBreak/>
        <w:t>New offence 1: Improper conduct for or on behalf of foreign power to compromise protected New Zealand interest</w:t>
      </w:r>
    </w:p>
    <w:p w14:paraId="4999EA38" w14:textId="77777777" w:rsidR="007E1B95" w:rsidRPr="00CC4771" w:rsidRDefault="007E1B95" w:rsidP="007E1B95">
      <w:pPr>
        <w:pStyle w:val="BodyText"/>
        <w:spacing w:before="200" w:after="200" w:line="249" w:lineRule="auto"/>
        <w:rPr>
          <w:rFonts w:ascii="Acumin Pro" w:hAnsi="Acumin Pro"/>
          <w:color w:val="231F20"/>
          <w:w w:val="105"/>
        </w:rPr>
      </w:pPr>
      <w:r w:rsidRPr="00CC4771">
        <w:rPr>
          <w:rFonts w:ascii="Acumin Pro" w:hAnsi="Acumin Pro"/>
          <w:color w:val="231F20"/>
          <w:w w:val="105"/>
        </w:rPr>
        <w:t xml:space="preserve">This offence criminalised the act of foreign interference. To commit the offence, a person must be doing an activity for a foreign state, and </w:t>
      </w:r>
      <w:r w:rsidRPr="00CC4771">
        <w:rPr>
          <w:rFonts w:ascii="Acumin Pro" w:hAnsi="Acumin Pro"/>
          <w:b/>
          <w:bCs/>
          <w:color w:val="231F20"/>
          <w:w w:val="105"/>
        </w:rPr>
        <w:t>the person’s actions must include all three of the following key elements – they</w:t>
      </w:r>
      <w:r w:rsidRPr="00CC4771">
        <w:rPr>
          <w:rFonts w:ascii="Acumin Pro" w:hAnsi="Acumin Pro"/>
          <w:color w:val="231F20"/>
          <w:w w:val="105"/>
        </w:rPr>
        <w:t>:</w:t>
      </w:r>
    </w:p>
    <w:p w14:paraId="18A31361" w14:textId="77777777" w:rsidR="007E1B95" w:rsidRPr="00CC4771" w:rsidRDefault="007E1B95" w:rsidP="007E1B95">
      <w:pPr>
        <w:pStyle w:val="ListParagraph"/>
        <w:numPr>
          <w:ilvl w:val="0"/>
          <w:numId w:val="6"/>
        </w:numPr>
        <w:tabs>
          <w:tab w:val="left" w:pos="1144"/>
        </w:tabs>
        <w:spacing w:before="200" w:after="200"/>
        <w:rPr>
          <w:rFonts w:ascii="Acumin Pro" w:hAnsi="Acumin Pro"/>
          <w:color w:val="231F20"/>
        </w:rPr>
      </w:pPr>
      <w:r w:rsidRPr="00CC4771">
        <w:rPr>
          <w:rFonts w:ascii="Acumin Pro" w:hAnsi="Acumin Pro"/>
          <w:color w:val="231F20"/>
        </w:rPr>
        <w:t>know, or ought to know, they are acting for a foreign state, and</w:t>
      </w:r>
    </w:p>
    <w:p w14:paraId="432B41E9" w14:textId="77777777" w:rsidR="007E1B95" w:rsidRPr="00CC4771" w:rsidRDefault="007E1B95" w:rsidP="007E1B95">
      <w:pPr>
        <w:pStyle w:val="ListParagraph"/>
        <w:numPr>
          <w:ilvl w:val="0"/>
          <w:numId w:val="6"/>
        </w:numPr>
        <w:tabs>
          <w:tab w:val="left" w:pos="1144"/>
        </w:tabs>
        <w:spacing w:before="200" w:after="200"/>
        <w:rPr>
          <w:rFonts w:ascii="Acumin Pro" w:hAnsi="Acumin Pro"/>
          <w:color w:val="231F20"/>
        </w:rPr>
      </w:pPr>
      <w:r w:rsidRPr="00CC4771">
        <w:rPr>
          <w:rFonts w:ascii="Acumin Pro" w:hAnsi="Acumin Pro"/>
          <w:color w:val="231F20"/>
        </w:rPr>
        <w:t>act in a covert, deceptive, coercive, or corruptive manner, and</w:t>
      </w:r>
    </w:p>
    <w:p w14:paraId="6D8C6108" w14:textId="77777777" w:rsidR="007E1B95" w:rsidRPr="00CC4771" w:rsidRDefault="007E1B95" w:rsidP="007E1B95">
      <w:pPr>
        <w:pStyle w:val="ListParagraph"/>
        <w:numPr>
          <w:ilvl w:val="0"/>
          <w:numId w:val="6"/>
        </w:numPr>
        <w:tabs>
          <w:tab w:val="left" w:pos="1145"/>
        </w:tabs>
        <w:spacing w:before="200" w:after="200"/>
        <w:rPr>
          <w:rFonts w:ascii="Acumin Pro" w:hAnsi="Acumin Pro"/>
          <w:color w:val="231F20"/>
        </w:rPr>
      </w:pPr>
      <w:r w:rsidRPr="00CC4771">
        <w:rPr>
          <w:rFonts w:ascii="Acumin Pro" w:hAnsi="Acumin Pro"/>
          <w:color w:val="231F20"/>
        </w:rPr>
        <w:t>intend to, or are aware that they are likely to, harm specified New Zealand interests through their actions.</w:t>
      </w:r>
    </w:p>
    <w:p w14:paraId="0EE327E4" w14:textId="77777777" w:rsidR="007E1B95" w:rsidRPr="00CC4771" w:rsidRDefault="007E1B95" w:rsidP="007E1B95">
      <w:pPr>
        <w:pStyle w:val="BodyText"/>
        <w:spacing w:before="200" w:after="200" w:line="249" w:lineRule="auto"/>
        <w:rPr>
          <w:rFonts w:ascii="Acumin Pro" w:hAnsi="Acumin Pro"/>
        </w:rPr>
      </w:pPr>
      <w:r w:rsidRPr="00CC4771">
        <w:rPr>
          <w:rFonts w:ascii="Acumin Pro" w:hAnsi="Acumin Pro"/>
          <w:color w:val="231F20"/>
        </w:rPr>
        <w:t>The offence holds people to account for</w:t>
      </w:r>
      <w:r w:rsidRPr="00CC4771">
        <w:rPr>
          <w:rFonts w:ascii="Acumin Pro" w:hAnsi="Acumin Pro"/>
          <w:color w:val="231F20"/>
          <w:spacing w:val="-1"/>
        </w:rPr>
        <w:t xml:space="preserve"> </w:t>
      </w:r>
      <w:r w:rsidRPr="00CC4771">
        <w:rPr>
          <w:rFonts w:ascii="Acumin Pro" w:hAnsi="Acumin Pro"/>
          <w:color w:val="231F20"/>
        </w:rPr>
        <w:t xml:space="preserve">undertaking interference activity targeting New Zealand interests that affect everyone, including our security or defence, the conduct of elections, and government decision-making. It also protects individuals and their communities by criminalising activities that aim to </w:t>
      </w:r>
      <w:r w:rsidRPr="00CC4771">
        <w:rPr>
          <w:rFonts w:ascii="Acumin Pro" w:hAnsi="Acumin Pro"/>
          <w:color w:val="231F20"/>
          <w:w w:val="105"/>
        </w:rPr>
        <w:t>undermine</w:t>
      </w:r>
      <w:r w:rsidRPr="00CC4771">
        <w:rPr>
          <w:rFonts w:ascii="Acumin Pro" w:hAnsi="Acumin Pro"/>
          <w:color w:val="231F20"/>
          <w:spacing w:val="-14"/>
          <w:w w:val="105"/>
        </w:rPr>
        <w:t xml:space="preserve"> </w:t>
      </w:r>
      <w:r w:rsidRPr="00CC4771">
        <w:rPr>
          <w:rFonts w:ascii="Acumin Pro" w:hAnsi="Acumin Pro"/>
          <w:color w:val="231F20"/>
          <w:w w:val="105"/>
        </w:rPr>
        <w:t>personal</w:t>
      </w:r>
      <w:r w:rsidRPr="00CC4771">
        <w:rPr>
          <w:rFonts w:ascii="Acumin Pro" w:hAnsi="Acumin Pro"/>
          <w:color w:val="231F20"/>
          <w:spacing w:val="-13"/>
          <w:w w:val="105"/>
        </w:rPr>
        <w:t xml:space="preserve"> </w:t>
      </w:r>
      <w:r w:rsidRPr="00CC4771">
        <w:rPr>
          <w:rFonts w:ascii="Acumin Pro" w:hAnsi="Acumin Pro"/>
          <w:color w:val="231F20"/>
          <w:w w:val="105"/>
        </w:rPr>
        <w:t>safety</w:t>
      </w:r>
      <w:r w:rsidRPr="00CC4771">
        <w:rPr>
          <w:rFonts w:ascii="Acumin Pro" w:hAnsi="Acumin Pro"/>
          <w:color w:val="231F20"/>
          <w:spacing w:val="-13"/>
          <w:w w:val="105"/>
        </w:rPr>
        <w:t xml:space="preserve"> </w:t>
      </w:r>
      <w:r w:rsidRPr="00CC4771">
        <w:rPr>
          <w:rFonts w:ascii="Acumin Pro" w:hAnsi="Acumin Pro"/>
          <w:color w:val="231F20"/>
          <w:w w:val="105"/>
        </w:rPr>
        <w:t>and</w:t>
      </w:r>
      <w:r w:rsidRPr="00CC4771">
        <w:rPr>
          <w:rFonts w:ascii="Acumin Pro" w:hAnsi="Acumin Pro"/>
          <w:color w:val="231F20"/>
          <w:spacing w:val="-13"/>
          <w:w w:val="105"/>
        </w:rPr>
        <w:t xml:space="preserve"> </w:t>
      </w:r>
      <w:r w:rsidRPr="00CC4771">
        <w:rPr>
          <w:rFonts w:ascii="Acumin Pro" w:hAnsi="Acumin Pro"/>
          <w:color w:val="231F20"/>
          <w:w w:val="105"/>
        </w:rPr>
        <w:t>security,</w:t>
      </w:r>
      <w:r w:rsidRPr="00CC4771">
        <w:rPr>
          <w:rFonts w:ascii="Acumin Pro" w:hAnsi="Acumin Pro"/>
          <w:color w:val="231F20"/>
          <w:spacing w:val="-13"/>
          <w:w w:val="105"/>
        </w:rPr>
        <w:t xml:space="preserve"> </w:t>
      </w:r>
      <w:r w:rsidRPr="00CC4771">
        <w:rPr>
          <w:rFonts w:ascii="Acumin Pro" w:hAnsi="Acumin Pro"/>
          <w:color w:val="231F20"/>
          <w:w w:val="105"/>
        </w:rPr>
        <w:t>or</w:t>
      </w:r>
      <w:r w:rsidRPr="00CC4771">
        <w:rPr>
          <w:rFonts w:ascii="Acumin Pro" w:hAnsi="Acumin Pro"/>
          <w:color w:val="231F20"/>
          <w:spacing w:val="-16"/>
          <w:w w:val="105"/>
        </w:rPr>
        <w:t xml:space="preserve"> </w:t>
      </w:r>
      <w:r w:rsidRPr="00CC4771">
        <w:rPr>
          <w:rFonts w:ascii="Acumin Pro" w:hAnsi="Acumin Pro"/>
          <w:color w:val="231F20"/>
          <w:w w:val="105"/>
        </w:rPr>
        <w:t>the</w:t>
      </w:r>
      <w:r w:rsidRPr="00CC4771">
        <w:rPr>
          <w:rFonts w:ascii="Acumin Pro" w:hAnsi="Acumin Pro"/>
          <w:color w:val="231F20"/>
          <w:spacing w:val="-13"/>
          <w:w w:val="105"/>
        </w:rPr>
        <w:t xml:space="preserve"> </w:t>
      </w:r>
      <w:r w:rsidRPr="00CC4771">
        <w:rPr>
          <w:rFonts w:ascii="Acumin Pro" w:hAnsi="Acumin Pro"/>
          <w:color w:val="231F20"/>
          <w:w w:val="105"/>
        </w:rPr>
        <w:t>exercise</w:t>
      </w:r>
      <w:r w:rsidRPr="00CC4771">
        <w:rPr>
          <w:rFonts w:ascii="Acumin Pro" w:hAnsi="Acumin Pro"/>
          <w:color w:val="231F20"/>
          <w:spacing w:val="-13"/>
          <w:w w:val="105"/>
        </w:rPr>
        <w:t xml:space="preserve"> </w:t>
      </w:r>
      <w:r w:rsidRPr="00CC4771">
        <w:rPr>
          <w:rFonts w:ascii="Acumin Pro" w:hAnsi="Acumin Pro"/>
          <w:color w:val="231F20"/>
          <w:w w:val="105"/>
        </w:rPr>
        <w:t>of</w:t>
      </w:r>
      <w:r w:rsidRPr="00CC4771">
        <w:rPr>
          <w:rFonts w:ascii="Acumin Pro" w:hAnsi="Acumin Pro"/>
          <w:color w:val="231F20"/>
          <w:spacing w:val="-13"/>
          <w:w w:val="105"/>
        </w:rPr>
        <w:t xml:space="preserve"> </w:t>
      </w:r>
      <w:r w:rsidRPr="00CC4771">
        <w:rPr>
          <w:rFonts w:ascii="Acumin Pro" w:hAnsi="Acumin Pro"/>
          <w:color w:val="231F20"/>
          <w:w w:val="105"/>
        </w:rPr>
        <w:t>rights</w:t>
      </w:r>
      <w:r w:rsidRPr="00CC4771">
        <w:rPr>
          <w:rFonts w:ascii="Acumin Pro" w:hAnsi="Acumin Pro"/>
          <w:color w:val="231F20"/>
          <w:spacing w:val="-13"/>
          <w:w w:val="105"/>
        </w:rPr>
        <w:t xml:space="preserve"> </w:t>
      </w:r>
      <w:r w:rsidRPr="00CC4771">
        <w:rPr>
          <w:rFonts w:ascii="Acumin Pro" w:hAnsi="Acumin Pro"/>
          <w:color w:val="231F20"/>
          <w:w w:val="105"/>
        </w:rPr>
        <w:t>and</w:t>
      </w:r>
      <w:r w:rsidRPr="00CC4771">
        <w:rPr>
          <w:rFonts w:ascii="Acumin Pro" w:hAnsi="Acumin Pro"/>
          <w:color w:val="231F20"/>
          <w:spacing w:val="-13"/>
          <w:w w:val="105"/>
        </w:rPr>
        <w:t xml:space="preserve"> </w:t>
      </w:r>
      <w:r w:rsidRPr="00CC4771">
        <w:rPr>
          <w:rFonts w:ascii="Acumin Pro" w:hAnsi="Acumin Pro"/>
          <w:color w:val="231F20"/>
          <w:w w:val="105"/>
        </w:rPr>
        <w:t>freedoms.</w:t>
      </w:r>
    </w:p>
    <w:p w14:paraId="50A4223F" w14:textId="77777777" w:rsidR="001249FE" w:rsidRPr="00CC4771" w:rsidRDefault="001249FE" w:rsidP="001249FE">
      <w:pPr>
        <w:pStyle w:val="BodyText"/>
        <w:spacing w:before="360" w:after="200"/>
        <w:rPr>
          <w:rFonts w:ascii="Acumin Pro" w:hAnsi="Acumin Pro"/>
          <w:b/>
          <w:bCs/>
        </w:rPr>
      </w:pPr>
      <w:r w:rsidRPr="00CC4771">
        <w:rPr>
          <w:rFonts w:ascii="Acumin Pro" w:hAnsi="Acumin Pro"/>
          <w:b/>
          <w:bCs/>
          <w:color w:val="231F20"/>
        </w:rPr>
        <w:t>This</w:t>
      </w:r>
      <w:r w:rsidRPr="00CC4771">
        <w:rPr>
          <w:rFonts w:ascii="Acumin Pro" w:hAnsi="Acumin Pro"/>
          <w:b/>
          <w:bCs/>
          <w:color w:val="231F20"/>
          <w:spacing w:val="18"/>
        </w:rPr>
        <w:t xml:space="preserve"> </w:t>
      </w:r>
      <w:r w:rsidRPr="00CC4771">
        <w:rPr>
          <w:rFonts w:ascii="Acumin Pro" w:hAnsi="Acumin Pro"/>
          <w:b/>
          <w:bCs/>
          <w:color w:val="231F20"/>
        </w:rPr>
        <w:t>is</w:t>
      </w:r>
      <w:r w:rsidRPr="00CC4771">
        <w:rPr>
          <w:rFonts w:ascii="Acumin Pro" w:hAnsi="Acumin Pro"/>
          <w:b/>
          <w:bCs/>
          <w:color w:val="231F20"/>
          <w:spacing w:val="19"/>
        </w:rPr>
        <w:t xml:space="preserve"> </w:t>
      </w:r>
      <w:r w:rsidRPr="00CC4771">
        <w:rPr>
          <w:rFonts w:ascii="Acumin Pro" w:hAnsi="Acumin Pro"/>
          <w:b/>
          <w:bCs/>
          <w:color w:val="231F20"/>
        </w:rPr>
        <w:t>a</w:t>
      </w:r>
      <w:r w:rsidRPr="00CC4771">
        <w:rPr>
          <w:rFonts w:ascii="Acumin Pro" w:hAnsi="Acumin Pro"/>
          <w:b/>
          <w:bCs/>
          <w:color w:val="231F20"/>
          <w:spacing w:val="24"/>
        </w:rPr>
        <w:t xml:space="preserve"> </w:t>
      </w:r>
      <w:r w:rsidRPr="00CC4771">
        <w:rPr>
          <w:rFonts w:ascii="Acumin Pro" w:hAnsi="Acumin Pro"/>
          <w:b/>
          <w:bCs/>
          <w:color w:val="231F20"/>
        </w:rPr>
        <w:t>serious</w:t>
      </w:r>
      <w:r w:rsidRPr="00CC4771">
        <w:rPr>
          <w:rFonts w:ascii="Acumin Pro" w:hAnsi="Acumin Pro"/>
          <w:b/>
          <w:bCs/>
          <w:color w:val="231F20"/>
          <w:spacing w:val="19"/>
        </w:rPr>
        <w:t xml:space="preserve"> </w:t>
      </w:r>
      <w:r w:rsidRPr="00CC4771">
        <w:rPr>
          <w:rFonts w:ascii="Acumin Pro" w:hAnsi="Acumin Pro"/>
          <w:b/>
          <w:bCs/>
          <w:color w:val="231F20"/>
        </w:rPr>
        <w:t>offence</w:t>
      </w:r>
      <w:r w:rsidRPr="00CC4771">
        <w:rPr>
          <w:rFonts w:ascii="Acumin Pro" w:hAnsi="Acumin Pro"/>
          <w:b/>
          <w:bCs/>
          <w:color w:val="231F20"/>
          <w:spacing w:val="24"/>
        </w:rPr>
        <w:t xml:space="preserve"> </w:t>
      </w:r>
      <w:r w:rsidRPr="00CC4771">
        <w:rPr>
          <w:rFonts w:ascii="Acumin Pro" w:hAnsi="Acumin Pro"/>
          <w:b/>
          <w:bCs/>
          <w:color w:val="231F20"/>
        </w:rPr>
        <w:t>and</w:t>
      </w:r>
      <w:r w:rsidRPr="00CC4771">
        <w:rPr>
          <w:rFonts w:ascii="Acumin Pro" w:hAnsi="Acumin Pro"/>
          <w:b/>
          <w:bCs/>
          <w:color w:val="231F20"/>
          <w:spacing w:val="25"/>
        </w:rPr>
        <w:t xml:space="preserve"> </w:t>
      </w:r>
      <w:r w:rsidRPr="00CC4771">
        <w:rPr>
          <w:rFonts w:ascii="Acumin Pro" w:hAnsi="Acumin Pro"/>
          <w:b/>
          <w:bCs/>
          <w:color w:val="231F20"/>
        </w:rPr>
        <w:t>has</w:t>
      </w:r>
      <w:r w:rsidRPr="00CC4771">
        <w:rPr>
          <w:rFonts w:ascii="Acumin Pro" w:hAnsi="Acumin Pro"/>
          <w:b/>
          <w:bCs/>
          <w:color w:val="231F20"/>
          <w:spacing w:val="18"/>
        </w:rPr>
        <w:t xml:space="preserve"> </w:t>
      </w:r>
      <w:r w:rsidRPr="00CC4771">
        <w:rPr>
          <w:rFonts w:ascii="Acumin Pro" w:hAnsi="Acumin Pro"/>
          <w:b/>
          <w:bCs/>
          <w:color w:val="231F20"/>
        </w:rPr>
        <w:t>a</w:t>
      </w:r>
      <w:r w:rsidRPr="00CC4771">
        <w:rPr>
          <w:rFonts w:ascii="Acumin Pro" w:hAnsi="Acumin Pro"/>
          <w:b/>
          <w:bCs/>
          <w:color w:val="231F20"/>
          <w:spacing w:val="25"/>
        </w:rPr>
        <w:t xml:space="preserve"> </w:t>
      </w:r>
      <w:r w:rsidRPr="00CC4771">
        <w:rPr>
          <w:rFonts w:ascii="Acumin Pro" w:hAnsi="Acumin Pro"/>
          <w:b/>
          <w:bCs/>
          <w:color w:val="231F20"/>
        </w:rPr>
        <w:t>maximum</w:t>
      </w:r>
      <w:r w:rsidRPr="00CC4771">
        <w:rPr>
          <w:rFonts w:ascii="Acumin Pro" w:hAnsi="Acumin Pro"/>
          <w:b/>
          <w:bCs/>
          <w:color w:val="231F20"/>
          <w:spacing w:val="24"/>
        </w:rPr>
        <w:t xml:space="preserve"> </w:t>
      </w:r>
      <w:r w:rsidRPr="00CC4771">
        <w:rPr>
          <w:rFonts w:ascii="Acumin Pro" w:hAnsi="Acumin Pro"/>
          <w:b/>
          <w:bCs/>
          <w:color w:val="231F20"/>
        </w:rPr>
        <w:t>penalty</w:t>
      </w:r>
      <w:r w:rsidRPr="00CC4771">
        <w:rPr>
          <w:rFonts w:ascii="Acumin Pro" w:hAnsi="Acumin Pro"/>
          <w:b/>
          <w:bCs/>
          <w:color w:val="231F20"/>
          <w:spacing w:val="11"/>
        </w:rPr>
        <w:t xml:space="preserve"> </w:t>
      </w:r>
      <w:r w:rsidRPr="00CC4771">
        <w:rPr>
          <w:rFonts w:ascii="Acumin Pro" w:hAnsi="Acumin Pro"/>
          <w:b/>
          <w:bCs/>
          <w:color w:val="231F20"/>
        </w:rPr>
        <w:t>of</w:t>
      </w:r>
      <w:r w:rsidRPr="00CC4771">
        <w:rPr>
          <w:rFonts w:ascii="Acumin Pro" w:hAnsi="Acumin Pro"/>
          <w:b/>
          <w:bCs/>
          <w:color w:val="231F20"/>
          <w:spacing w:val="12"/>
        </w:rPr>
        <w:t xml:space="preserve"> </w:t>
      </w:r>
      <w:r w:rsidRPr="00CC4771">
        <w:rPr>
          <w:rFonts w:ascii="Acumin Pro" w:hAnsi="Acumin Pro"/>
          <w:b/>
          <w:bCs/>
          <w:color w:val="231F20"/>
        </w:rPr>
        <w:t>14</w:t>
      </w:r>
      <w:r w:rsidRPr="00CC4771">
        <w:rPr>
          <w:rFonts w:ascii="Acumin Pro" w:hAnsi="Acumin Pro"/>
          <w:b/>
          <w:bCs/>
          <w:color w:val="231F20"/>
          <w:spacing w:val="31"/>
        </w:rPr>
        <w:t xml:space="preserve"> </w:t>
      </w:r>
      <w:r w:rsidRPr="00CC4771">
        <w:rPr>
          <w:rFonts w:ascii="Acumin Pro" w:hAnsi="Acumin Pro"/>
          <w:b/>
          <w:bCs/>
          <w:color w:val="231F20"/>
        </w:rPr>
        <w:t>years’</w:t>
      </w:r>
      <w:r w:rsidRPr="00CC4771">
        <w:rPr>
          <w:rFonts w:ascii="Acumin Pro" w:hAnsi="Acumin Pro"/>
          <w:b/>
          <w:bCs/>
          <w:color w:val="231F20"/>
          <w:spacing w:val="38"/>
        </w:rPr>
        <w:t xml:space="preserve"> </w:t>
      </w:r>
      <w:r w:rsidRPr="00CC4771">
        <w:rPr>
          <w:rFonts w:ascii="Acumin Pro" w:hAnsi="Acumin Pro"/>
          <w:b/>
          <w:bCs/>
          <w:color w:val="231F20"/>
          <w:spacing w:val="-2"/>
        </w:rPr>
        <w:t>imprisonment.</w:t>
      </w:r>
    </w:p>
    <w:p w14:paraId="1B75D96B" w14:textId="77777777" w:rsidR="001249FE" w:rsidRPr="00CC4771" w:rsidRDefault="001249FE" w:rsidP="001249FE">
      <w:pPr>
        <w:pStyle w:val="BodyText"/>
        <w:spacing w:before="200" w:after="200" w:line="249" w:lineRule="auto"/>
        <w:rPr>
          <w:rFonts w:ascii="Acumin Pro" w:hAnsi="Acumin Pro"/>
        </w:rPr>
      </w:pPr>
      <w:r w:rsidRPr="00CC4771">
        <w:rPr>
          <w:rFonts w:ascii="Acumin Pro" w:hAnsi="Acumin Pro"/>
          <w:color w:val="231F20"/>
        </w:rPr>
        <w:t>To ensure that only</w:t>
      </w:r>
      <w:r w:rsidRPr="00CC4771">
        <w:rPr>
          <w:rFonts w:ascii="Acumin Pro" w:hAnsi="Acumin Pro"/>
          <w:color w:val="231F20"/>
          <w:spacing w:val="-2"/>
        </w:rPr>
        <w:t xml:space="preserve"> </w:t>
      </w:r>
      <w:r w:rsidRPr="00CC4771">
        <w:rPr>
          <w:rFonts w:ascii="Acumin Pro" w:hAnsi="Acumin Pro"/>
          <w:color w:val="231F20"/>
        </w:rPr>
        <w:t>people who commit foreign interference are captured, the offence does not criminalise the activities of people who:</w:t>
      </w:r>
    </w:p>
    <w:p w14:paraId="3478E39A" w14:textId="77777777" w:rsidR="001249FE" w:rsidRPr="00CC4771" w:rsidRDefault="001249FE" w:rsidP="001249FE">
      <w:pPr>
        <w:pStyle w:val="ListParagraph"/>
        <w:numPr>
          <w:ilvl w:val="0"/>
          <w:numId w:val="7"/>
        </w:numPr>
        <w:tabs>
          <w:tab w:val="left" w:pos="1145"/>
        </w:tabs>
        <w:spacing w:before="200" w:after="200"/>
        <w:rPr>
          <w:rFonts w:ascii="Acumin Pro" w:hAnsi="Acumin Pro"/>
        </w:rPr>
      </w:pPr>
      <w:r w:rsidRPr="00CC4771">
        <w:rPr>
          <w:rFonts w:ascii="Acumin Pro" w:hAnsi="Acumin Pro"/>
          <w:color w:val="231F20"/>
        </w:rPr>
        <w:t>are</w:t>
      </w:r>
      <w:r w:rsidRPr="00CC4771">
        <w:rPr>
          <w:rFonts w:ascii="Acumin Pro" w:hAnsi="Acumin Pro"/>
          <w:color w:val="231F20"/>
          <w:spacing w:val="-3"/>
        </w:rPr>
        <w:t xml:space="preserve"> </w:t>
      </w:r>
      <w:r w:rsidRPr="00CC4771">
        <w:rPr>
          <w:rFonts w:ascii="Acumin Pro" w:hAnsi="Acumin Pro"/>
          <w:color w:val="231F20"/>
        </w:rPr>
        <w:t>not</w:t>
      </w:r>
      <w:r w:rsidRPr="00CC4771">
        <w:rPr>
          <w:rFonts w:ascii="Acumin Pro" w:hAnsi="Acumin Pro"/>
          <w:color w:val="231F20"/>
          <w:spacing w:val="-2"/>
        </w:rPr>
        <w:t xml:space="preserve"> </w:t>
      </w:r>
      <w:r w:rsidRPr="00CC4771">
        <w:rPr>
          <w:rFonts w:ascii="Acumin Pro" w:hAnsi="Acumin Pro"/>
          <w:color w:val="231F20"/>
        </w:rPr>
        <w:t>acting</w:t>
      </w:r>
      <w:r w:rsidRPr="00CC4771">
        <w:rPr>
          <w:rFonts w:ascii="Acumin Pro" w:hAnsi="Acumin Pro"/>
          <w:color w:val="231F20"/>
          <w:spacing w:val="1"/>
        </w:rPr>
        <w:t xml:space="preserve"> </w:t>
      </w:r>
      <w:r w:rsidRPr="00CC4771">
        <w:rPr>
          <w:rFonts w:ascii="Acumin Pro" w:hAnsi="Acumin Pro"/>
          <w:color w:val="231F20"/>
        </w:rPr>
        <w:t>for</w:t>
      </w:r>
      <w:r w:rsidRPr="00CC4771">
        <w:rPr>
          <w:rFonts w:ascii="Acumin Pro" w:hAnsi="Acumin Pro"/>
          <w:color w:val="231F20"/>
          <w:spacing w:val="-9"/>
        </w:rPr>
        <w:t xml:space="preserve"> </w:t>
      </w:r>
      <w:r w:rsidRPr="00CC4771">
        <w:rPr>
          <w:rFonts w:ascii="Acumin Pro" w:hAnsi="Acumin Pro"/>
          <w:color w:val="231F20"/>
        </w:rPr>
        <w:t>a</w:t>
      </w:r>
      <w:r w:rsidRPr="00CC4771">
        <w:rPr>
          <w:rFonts w:ascii="Acumin Pro" w:hAnsi="Acumin Pro"/>
          <w:color w:val="231F20"/>
          <w:spacing w:val="-2"/>
        </w:rPr>
        <w:t xml:space="preserve"> </w:t>
      </w:r>
      <w:r w:rsidRPr="00CC4771">
        <w:rPr>
          <w:rFonts w:ascii="Acumin Pro" w:hAnsi="Acumin Pro"/>
          <w:color w:val="231F20"/>
        </w:rPr>
        <w:t>foreign</w:t>
      </w:r>
      <w:r w:rsidRPr="00CC4771">
        <w:rPr>
          <w:rFonts w:ascii="Acumin Pro" w:hAnsi="Acumin Pro"/>
          <w:color w:val="231F20"/>
          <w:spacing w:val="-2"/>
        </w:rPr>
        <w:t xml:space="preserve"> </w:t>
      </w:r>
      <w:r w:rsidRPr="00CC4771">
        <w:rPr>
          <w:rFonts w:ascii="Acumin Pro" w:hAnsi="Acumin Pro"/>
          <w:color w:val="231F20"/>
          <w:spacing w:val="-4"/>
        </w:rPr>
        <w:t>state</w:t>
      </w:r>
    </w:p>
    <w:p w14:paraId="2648800A" w14:textId="77777777" w:rsidR="008E5DE5" w:rsidRPr="008E5DE5" w:rsidRDefault="001249FE" w:rsidP="001249FE">
      <w:pPr>
        <w:pStyle w:val="ListParagraph"/>
        <w:numPr>
          <w:ilvl w:val="0"/>
          <w:numId w:val="7"/>
        </w:numPr>
        <w:tabs>
          <w:tab w:val="left" w:pos="1145"/>
        </w:tabs>
        <w:spacing w:before="200" w:after="200" w:line="285" w:lineRule="auto"/>
        <w:rPr>
          <w:rFonts w:ascii="Acumin Pro" w:hAnsi="Acumin Pro"/>
        </w:rPr>
      </w:pPr>
      <w:r w:rsidRPr="00CC4771">
        <w:rPr>
          <w:rFonts w:ascii="Acumin Pro" w:hAnsi="Acumin Pro"/>
          <w:color w:val="231F20"/>
        </w:rPr>
        <w:t>do not know, or</w:t>
      </w:r>
      <w:r w:rsidRPr="00CC4771">
        <w:rPr>
          <w:rFonts w:ascii="Acumin Pro" w:hAnsi="Acumin Pro"/>
          <w:color w:val="231F20"/>
          <w:spacing w:val="-5"/>
        </w:rPr>
        <w:t xml:space="preserve"> </w:t>
      </w:r>
      <w:r w:rsidRPr="00CC4771">
        <w:rPr>
          <w:rFonts w:ascii="Acumin Pro" w:hAnsi="Acumin Pro"/>
          <w:color w:val="231F20"/>
        </w:rPr>
        <w:t>have no reasonable way</w:t>
      </w:r>
      <w:r w:rsidRPr="00CC4771">
        <w:rPr>
          <w:rFonts w:ascii="Acumin Pro" w:hAnsi="Acumin Pro"/>
          <w:color w:val="231F20"/>
          <w:spacing w:val="-2"/>
        </w:rPr>
        <w:t xml:space="preserve"> </w:t>
      </w:r>
      <w:r w:rsidRPr="00CC4771">
        <w:rPr>
          <w:rFonts w:ascii="Acumin Pro" w:hAnsi="Acumin Pro"/>
          <w:color w:val="231F20"/>
        </w:rPr>
        <w:t>of</w:t>
      </w:r>
      <w:r w:rsidRPr="00CC4771">
        <w:rPr>
          <w:rFonts w:ascii="Acumin Pro" w:hAnsi="Acumin Pro"/>
          <w:color w:val="231F20"/>
          <w:spacing w:val="-2"/>
        </w:rPr>
        <w:t xml:space="preserve"> </w:t>
      </w:r>
      <w:r w:rsidRPr="00CC4771">
        <w:rPr>
          <w:rFonts w:ascii="Acumin Pro" w:hAnsi="Acumin Pro"/>
          <w:color w:val="231F20"/>
        </w:rPr>
        <w:t>determining, that they</w:t>
      </w:r>
      <w:r w:rsidRPr="00CC4771">
        <w:rPr>
          <w:rFonts w:ascii="Acumin Pro" w:hAnsi="Acumin Pro"/>
          <w:color w:val="231F20"/>
          <w:spacing w:val="-2"/>
        </w:rPr>
        <w:t xml:space="preserve"> </w:t>
      </w:r>
      <w:r w:rsidRPr="00CC4771">
        <w:rPr>
          <w:rFonts w:ascii="Acumin Pro" w:hAnsi="Acumin Pro"/>
          <w:color w:val="231F20"/>
        </w:rPr>
        <w:t>are being used by</w:t>
      </w:r>
      <w:r w:rsidRPr="00CC4771">
        <w:rPr>
          <w:rFonts w:ascii="Acumin Pro" w:hAnsi="Acumin Pro"/>
          <w:color w:val="231F20"/>
          <w:spacing w:val="-2"/>
        </w:rPr>
        <w:t xml:space="preserve"> </w:t>
      </w:r>
      <w:r w:rsidRPr="00CC4771">
        <w:rPr>
          <w:rFonts w:ascii="Acumin Pro" w:hAnsi="Acumin Pro"/>
          <w:color w:val="231F20"/>
        </w:rPr>
        <w:t xml:space="preserve">a foreign state as part of efforts to undertake foreign interference against New Zealand, </w:t>
      </w:r>
    </w:p>
    <w:p w14:paraId="1CC062FD" w14:textId="7AD0FDD3" w:rsidR="001249FE" w:rsidRPr="00CC4771" w:rsidRDefault="008E5DE5" w:rsidP="008E5DE5">
      <w:pPr>
        <w:pStyle w:val="ListParagraph"/>
        <w:tabs>
          <w:tab w:val="left" w:pos="1145"/>
        </w:tabs>
        <w:spacing w:before="200" w:after="200" w:line="285" w:lineRule="auto"/>
        <w:ind w:left="720" w:firstLine="0"/>
        <w:rPr>
          <w:rFonts w:ascii="Acumin Pro" w:hAnsi="Acumin Pro"/>
        </w:rPr>
      </w:pPr>
      <w:r>
        <w:rPr>
          <w:rFonts w:ascii="Acumin Pro" w:hAnsi="Acumin Pro"/>
          <w:color w:val="231F20"/>
        </w:rPr>
        <w:t>o</w:t>
      </w:r>
      <w:r w:rsidR="001249FE" w:rsidRPr="00CC4771">
        <w:rPr>
          <w:rFonts w:ascii="Acumin Pro" w:hAnsi="Acumin Pro"/>
          <w:color w:val="231F20"/>
        </w:rPr>
        <w:t>r</w:t>
      </w:r>
    </w:p>
    <w:p w14:paraId="1BA247CC" w14:textId="77777777" w:rsidR="001249FE" w:rsidRPr="00CC4771" w:rsidRDefault="001249FE" w:rsidP="001249FE">
      <w:pPr>
        <w:pStyle w:val="ListParagraph"/>
        <w:numPr>
          <w:ilvl w:val="0"/>
          <w:numId w:val="7"/>
        </w:numPr>
        <w:tabs>
          <w:tab w:val="left" w:pos="1145"/>
        </w:tabs>
        <w:spacing w:before="200" w:after="200"/>
        <w:rPr>
          <w:rFonts w:ascii="Acumin Pro" w:hAnsi="Acumin Pro"/>
        </w:rPr>
      </w:pPr>
      <w:r w:rsidRPr="00CC4771">
        <w:rPr>
          <w:rFonts w:ascii="Acumin Pro" w:hAnsi="Acumin Pro"/>
          <w:color w:val="231F20"/>
        </w:rPr>
        <w:t>are</w:t>
      </w:r>
      <w:r w:rsidRPr="00CC4771">
        <w:rPr>
          <w:rFonts w:ascii="Acumin Pro" w:hAnsi="Acumin Pro"/>
          <w:color w:val="231F20"/>
          <w:spacing w:val="-1"/>
        </w:rPr>
        <w:t xml:space="preserve"> </w:t>
      </w:r>
      <w:r w:rsidRPr="00CC4771">
        <w:rPr>
          <w:rFonts w:ascii="Acumin Pro" w:hAnsi="Acumin Pro"/>
          <w:color w:val="231F20"/>
        </w:rPr>
        <w:t>acting</w:t>
      </w:r>
      <w:r w:rsidRPr="00CC4771">
        <w:rPr>
          <w:rFonts w:ascii="Acumin Pro" w:hAnsi="Acumin Pro"/>
          <w:color w:val="231F20"/>
          <w:spacing w:val="3"/>
        </w:rPr>
        <w:t xml:space="preserve"> </w:t>
      </w:r>
      <w:r w:rsidRPr="00CC4771">
        <w:rPr>
          <w:rFonts w:ascii="Acumin Pro" w:hAnsi="Acumin Pro"/>
          <w:color w:val="231F20"/>
        </w:rPr>
        <w:t>for</w:t>
      </w:r>
      <w:r w:rsidRPr="00CC4771">
        <w:rPr>
          <w:rFonts w:ascii="Acumin Pro" w:hAnsi="Acumin Pro"/>
          <w:color w:val="231F20"/>
          <w:spacing w:val="-7"/>
        </w:rPr>
        <w:t xml:space="preserve"> </w:t>
      </w:r>
      <w:r w:rsidRPr="00CC4771">
        <w:rPr>
          <w:rFonts w:ascii="Acumin Pro" w:hAnsi="Acumin Pro"/>
          <w:color w:val="231F20"/>
        </w:rPr>
        <w:t>a foreign</w:t>
      </w:r>
      <w:r w:rsidRPr="00CC4771">
        <w:rPr>
          <w:rFonts w:ascii="Acumin Pro" w:hAnsi="Acumin Pro"/>
          <w:color w:val="231F20"/>
          <w:spacing w:val="-1"/>
        </w:rPr>
        <w:t xml:space="preserve"> </w:t>
      </w:r>
      <w:r w:rsidRPr="00CC4771">
        <w:rPr>
          <w:rFonts w:ascii="Acumin Pro" w:hAnsi="Acumin Pro"/>
          <w:color w:val="231F20"/>
        </w:rPr>
        <w:t>state in</w:t>
      </w:r>
      <w:r w:rsidRPr="00CC4771">
        <w:rPr>
          <w:rFonts w:ascii="Acumin Pro" w:hAnsi="Acumin Pro"/>
          <w:color w:val="231F20"/>
          <w:spacing w:val="-1"/>
        </w:rPr>
        <w:t xml:space="preserve"> </w:t>
      </w:r>
      <w:r w:rsidRPr="00CC4771">
        <w:rPr>
          <w:rFonts w:ascii="Acumin Pro" w:hAnsi="Acumin Pro"/>
          <w:color w:val="231F20"/>
        </w:rPr>
        <w:t>an open,</w:t>
      </w:r>
      <w:r w:rsidRPr="00CC4771">
        <w:rPr>
          <w:rFonts w:ascii="Acumin Pro" w:hAnsi="Acumin Pro"/>
          <w:color w:val="231F20"/>
          <w:spacing w:val="1"/>
        </w:rPr>
        <w:t xml:space="preserve"> </w:t>
      </w:r>
      <w:r w:rsidRPr="00CC4771">
        <w:rPr>
          <w:rFonts w:ascii="Acumin Pro" w:hAnsi="Acumin Pro"/>
          <w:color w:val="231F20"/>
        </w:rPr>
        <w:t>transparent,</w:t>
      </w:r>
      <w:r w:rsidRPr="00CC4771">
        <w:rPr>
          <w:rFonts w:ascii="Acumin Pro" w:hAnsi="Acumin Pro"/>
          <w:color w:val="231F20"/>
          <w:spacing w:val="2"/>
        </w:rPr>
        <w:t xml:space="preserve"> </w:t>
      </w:r>
      <w:r w:rsidRPr="00CC4771">
        <w:rPr>
          <w:rFonts w:ascii="Acumin Pro" w:hAnsi="Acumin Pro"/>
          <w:color w:val="231F20"/>
        </w:rPr>
        <w:t>and lawful</w:t>
      </w:r>
      <w:r w:rsidRPr="00CC4771">
        <w:rPr>
          <w:rFonts w:ascii="Acumin Pro" w:hAnsi="Acumin Pro"/>
          <w:color w:val="231F20"/>
          <w:spacing w:val="1"/>
        </w:rPr>
        <w:t xml:space="preserve"> </w:t>
      </w:r>
      <w:r w:rsidRPr="00CC4771">
        <w:rPr>
          <w:rFonts w:ascii="Acumin Pro" w:hAnsi="Acumin Pro"/>
          <w:color w:val="231F20"/>
          <w:spacing w:val="-2"/>
        </w:rPr>
        <w:t>manner.</w:t>
      </w:r>
    </w:p>
    <w:p w14:paraId="632FB6A8" w14:textId="77777777" w:rsidR="001249FE" w:rsidRPr="00CC4771" w:rsidRDefault="001249FE" w:rsidP="001249FE">
      <w:pPr>
        <w:pStyle w:val="BodyText"/>
        <w:spacing w:before="360" w:after="200" w:line="249" w:lineRule="auto"/>
        <w:rPr>
          <w:rFonts w:ascii="Acumin Pro" w:hAnsi="Acumin Pro"/>
          <w:b/>
          <w:bCs/>
          <w:color w:val="231F20"/>
        </w:rPr>
      </w:pPr>
      <w:r w:rsidRPr="00CC4771">
        <w:rPr>
          <w:rFonts w:ascii="Acumin Pro" w:hAnsi="Acumin Pro"/>
          <w:b/>
          <w:bCs/>
          <w:color w:val="231F20"/>
        </w:rPr>
        <w:t>Exercising rights and freedoms alone are not criminal acts. The offence clearly states that:</w:t>
      </w:r>
    </w:p>
    <w:p w14:paraId="6823CCDF" w14:textId="77777777" w:rsidR="004401BC" w:rsidRDefault="001249FE" w:rsidP="001249FE">
      <w:pPr>
        <w:pStyle w:val="ListParagraph"/>
        <w:numPr>
          <w:ilvl w:val="0"/>
          <w:numId w:val="8"/>
        </w:numPr>
        <w:tabs>
          <w:tab w:val="left" w:pos="1145"/>
        </w:tabs>
        <w:spacing w:before="200" w:after="200" w:line="249" w:lineRule="auto"/>
        <w:rPr>
          <w:rFonts w:ascii="Acumin Pro" w:hAnsi="Acumin Pro"/>
          <w:color w:val="231F20"/>
        </w:rPr>
      </w:pPr>
      <w:r w:rsidRPr="004401BC">
        <w:rPr>
          <w:rFonts w:ascii="Acumin Pro" w:hAnsi="Acumin Pro"/>
          <w:color w:val="231F20"/>
        </w:rPr>
        <w:t>engaging in protest, advocacy, or dissent, or engaging in a strike, lockout or other industrial action, on its own, does not provide a sufficient basis to infer that a person is committing the offence, and</w:t>
      </w:r>
    </w:p>
    <w:p w14:paraId="23EB1F3E" w14:textId="7949AA4B" w:rsidR="00216680" w:rsidRDefault="001249FE" w:rsidP="001249FE">
      <w:pPr>
        <w:pStyle w:val="ListParagraph"/>
        <w:numPr>
          <w:ilvl w:val="0"/>
          <w:numId w:val="8"/>
        </w:numPr>
        <w:tabs>
          <w:tab w:val="left" w:pos="1145"/>
        </w:tabs>
        <w:spacing w:before="200" w:after="200" w:line="249" w:lineRule="auto"/>
        <w:rPr>
          <w:rFonts w:ascii="Acumin Pro" w:hAnsi="Acumin Pro"/>
          <w:color w:val="231F20"/>
        </w:rPr>
      </w:pPr>
      <w:r w:rsidRPr="004401BC">
        <w:rPr>
          <w:rFonts w:ascii="Acumin Pro" w:hAnsi="Acumin Pro"/>
          <w:color w:val="231F20"/>
        </w:rPr>
        <w:t>protecting information as part of everyday activities (such as using encrypted communications for work or personal reasons), on its own, does not provide a sufficient basis to infer that a person is acting covertly, which is one of the three elements of the foreign interference offence.</w:t>
      </w:r>
      <w:r w:rsidR="00216680">
        <w:rPr>
          <w:rFonts w:ascii="Acumin Pro" w:hAnsi="Acumin Pro"/>
          <w:color w:val="231F20"/>
        </w:rPr>
        <w:br w:type="page"/>
      </w:r>
    </w:p>
    <w:p w14:paraId="060C2509" w14:textId="77777777" w:rsidR="000D2BC0" w:rsidRPr="004347F7" w:rsidRDefault="000D2BC0" w:rsidP="000D2BC0">
      <w:pPr>
        <w:pStyle w:val="Heading2"/>
        <w:ind w:left="0"/>
        <w:rPr>
          <w:rFonts w:ascii="Acumin Pro" w:hAnsi="Acumin Pro"/>
          <w:color w:val="391335"/>
        </w:rPr>
      </w:pPr>
      <w:r w:rsidRPr="004347F7">
        <w:rPr>
          <w:rFonts w:ascii="Acumin Pro" w:hAnsi="Acumin Pro"/>
          <w:color w:val="391335"/>
        </w:rPr>
        <w:lastRenderedPageBreak/>
        <w:t>New offence 2: Commission of imprisonable offence for or on behalf of foreign power to provide relevant benefit</w:t>
      </w:r>
    </w:p>
    <w:p w14:paraId="55D1E679" w14:textId="37B941C8" w:rsidR="000D2BC0" w:rsidRPr="00371B0B" w:rsidRDefault="000D2BC0" w:rsidP="00371B0B">
      <w:pPr>
        <w:pStyle w:val="BodyText"/>
        <w:spacing w:before="200" w:after="200" w:line="249" w:lineRule="auto"/>
        <w:rPr>
          <w:rFonts w:ascii="Acumin Pro" w:hAnsi="Acumin Pro"/>
          <w:color w:val="231F20"/>
        </w:rPr>
      </w:pPr>
      <w:r w:rsidRPr="00371B0B">
        <w:rPr>
          <w:rFonts w:ascii="Acumin Pro" w:hAnsi="Acumin Pro"/>
          <w:color w:val="231F20"/>
        </w:rPr>
        <w:t xml:space="preserve">Some activities that are used to undertake or support foreign interference are already criminal offences in </w:t>
      </w:r>
      <w:r w:rsidRPr="004347F7">
        <w:rPr>
          <w:rFonts w:ascii="Acumin Pro" w:hAnsi="Acumin Pro"/>
          <w:color w:val="231F20"/>
        </w:rPr>
        <w:t>New Zealand. These include, for example, intimidation, blackmail, corruption, and the use of violence. The</w:t>
      </w:r>
      <w:r w:rsidR="00371B0B">
        <w:rPr>
          <w:rFonts w:ascii="Acumin Pro" w:hAnsi="Acumin Pro"/>
          <w:color w:val="231F20"/>
        </w:rPr>
        <w:t xml:space="preserve"> </w:t>
      </w:r>
      <w:r w:rsidRPr="004347F7">
        <w:rPr>
          <w:rFonts w:ascii="Acumin Pro" w:hAnsi="Acumin Pro"/>
          <w:color w:val="231F20"/>
        </w:rPr>
        <w:t>significance of these criminal acts, and the harms they cause, increase when they are committed in New Zea-</w:t>
      </w:r>
      <w:r w:rsidRPr="00371B0B">
        <w:rPr>
          <w:rFonts w:ascii="Acumin Pro" w:hAnsi="Acumin Pro"/>
          <w:color w:val="231F20"/>
        </w:rPr>
        <w:t>land to help a foreign state to advance its strategic objectives.</w:t>
      </w:r>
    </w:p>
    <w:p w14:paraId="0304D4DE" w14:textId="77777777" w:rsidR="000D2BC0" w:rsidRPr="00371B0B" w:rsidRDefault="000D2BC0" w:rsidP="00371B0B">
      <w:pPr>
        <w:pStyle w:val="BodyText"/>
        <w:spacing w:before="200" w:after="200" w:line="249" w:lineRule="auto"/>
        <w:rPr>
          <w:rFonts w:ascii="Acumin Pro" w:hAnsi="Acumin Pro"/>
          <w:color w:val="231F20"/>
        </w:rPr>
      </w:pPr>
      <w:r w:rsidRPr="004347F7">
        <w:rPr>
          <w:rFonts w:ascii="Acumin Pro" w:hAnsi="Acumin Pro"/>
          <w:color w:val="231F20"/>
        </w:rPr>
        <w:t>To recognise the greater harm, this new offence applies to a person</w:t>
      </w:r>
      <w:r w:rsidRPr="00371B0B">
        <w:rPr>
          <w:rFonts w:ascii="Acumin Pro" w:hAnsi="Acumin Pro"/>
          <w:color w:val="231F20"/>
        </w:rPr>
        <w:t xml:space="preserve"> </w:t>
      </w:r>
      <w:r w:rsidRPr="004347F7">
        <w:rPr>
          <w:rFonts w:ascii="Acumin Pro" w:hAnsi="Acumin Pro"/>
          <w:color w:val="231F20"/>
        </w:rPr>
        <w:t xml:space="preserve">who commits an </w:t>
      </w:r>
      <w:r w:rsidRPr="00371B0B">
        <w:rPr>
          <w:rFonts w:ascii="Acumin Pro" w:hAnsi="Acumin Pro"/>
          <w:b/>
          <w:bCs/>
          <w:color w:val="231F20"/>
        </w:rPr>
        <w:t>imprisonable offence to benefit a foreign state in any of the following ways:</w:t>
      </w:r>
    </w:p>
    <w:p w14:paraId="6B728BD0" w14:textId="77777777" w:rsidR="000D2BC0" w:rsidRPr="004347F7" w:rsidRDefault="000D2BC0" w:rsidP="00371B0B">
      <w:pPr>
        <w:pStyle w:val="BodyText"/>
        <w:numPr>
          <w:ilvl w:val="0"/>
          <w:numId w:val="10"/>
        </w:numPr>
        <w:spacing w:before="200" w:after="200" w:line="249" w:lineRule="auto"/>
        <w:rPr>
          <w:rFonts w:ascii="Acumin Pro" w:hAnsi="Acumin Pro"/>
          <w:color w:val="231F20"/>
        </w:rPr>
      </w:pPr>
      <w:r w:rsidRPr="004347F7">
        <w:rPr>
          <w:rFonts w:ascii="Acumin Pro" w:hAnsi="Acumin Pro"/>
          <w:color w:val="231F20"/>
        </w:rPr>
        <w:t>to support its foreign intelligence activities</w:t>
      </w:r>
    </w:p>
    <w:p w14:paraId="246A8826" w14:textId="38FA9108" w:rsidR="000D2BC0" w:rsidRDefault="000D2BC0" w:rsidP="00371B0B">
      <w:pPr>
        <w:pStyle w:val="BodyText"/>
        <w:numPr>
          <w:ilvl w:val="0"/>
          <w:numId w:val="10"/>
        </w:numPr>
        <w:spacing w:before="200" w:after="200" w:line="249" w:lineRule="auto"/>
        <w:rPr>
          <w:rFonts w:ascii="Acumin Pro" w:hAnsi="Acumin Pro"/>
          <w:color w:val="231F20"/>
        </w:rPr>
      </w:pPr>
      <w:r w:rsidRPr="004347F7">
        <w:rPr>
          <w:rFonts w:ascii="Acumin Pro" w:hAnsi="Acumin Pro"/>
          <w:color w:val="231F20"/>
        </w:rPr>
        <w:t xml:space="preserve">to enhance its political or economic influence, or its military or technological capability, </w:t>
      </w:r>
    </w:p>
    <w:p w14:paraId="6B4B0349" w14:textId="585E4694" w:rsidR="00371B0B" w:rsidRPr="004347F7" w:rsidRDefault="00371B0B" w:rsidP="00371B0B">
      <w:pPr>
        <w:pStyle w:val="BodyText"/>
        <w:spacing w:before="200" w:after="200" w:line="249" w:lineRule="auto"/>
        <w:ind w:left="720"/>
        <w:rPr>
          <w:rFonts w:ascii="Acumin Pro" w:hAnsi="Acumin Pro"/>
          <w:color w:val="231F20"/>
        </w:rPr>
      </w:pPr>
      <w:r>
        <w:rPr>
          <w:rFonts w:ascii="Acumin Pro" w:hAnsi="Acumin Pro"/>
          <w:color w:val="231F20"/>
        </w:rPr>
        <w:t>or</w:t>
      </w:r>
    </w:p>
    <w:p w14:paraId="25F5EEB3" w14:textId="77777777" w:rsidR="000D2BC0" w:rsidRPr="00371B0B" w:rsidRDefault="000D2BC0" w:rsidP="00371B0B">
      <w:pPr>
        <w:pStyle w:val="BodyText"/>
        <w:numPr>
          <w:ilvl w:val="0"/>
          <w:numId w:val="10"/>
        </w:numPr>
        <w:spacing w:before="200" w:after="200" w:line="249" w:lineRule="auto"/>
        <w:rPr>
          <w:rFonts w:ascii="Acumin Pro" w:hAnsi="Acumin Pro"/>
          <w:color w:val="231F20"/>
        </w:rPr>
      </w:pPr>
      <w:r>
        <w:rPr>
          <w:rFonts w:ascii="Acumin Pro" w:hAnsi="Acumin Pro"/>
          <w:color w:val="231F20"/>
        </w:rPr>
        <w:t>t</w:t>
      </w:r>
      <w:r w:rsidRPr="005210D3">
        <w:rPr>
          <w:rFonts w:ascii="Acumin Pro" w:hAnsi="Acumin Pro"/>
          <w:color w:val="231F20"/>
        </w:rPr>
        <w:t>o advance its coercive influence over people inside or outside New Zealand.</w:t>
      </w:r>
    </w:p>
    <w:p w14:paraId="4BC55DA4" w14:textId="77777777" w:rsidR="000D2BC0" w:rsidRPr="004347F7" w:rsidRDefault="000D2BC0" w:rsidP="00371B0B">
      <w:pPr>
        <w:pStyle w:val="BodyText"/>
        <w:spacing w:before="200" w:after="200" w:line="249" w:lineRule="auto"/>
        <w:rPr>
          <w:rFonts w:ascii="Acumin Pro" w:hAnsi="Acumin Pro"/>
          <w:color w:val="231F20"/>
        </w:rPr>
      </w:pPr>
      <w:r w:rsidRPr="004347F7">
        <w:rPr>
          <w:rFonts w:ascii="Acumin Pro" w:hAnsi="Acumin Pro"/>
          <w:color w:val="231F20"/>
        </w:rPr>
        <w:t>All non-criminal activities done to benefit a foreign state will remain lawful and permitted.</w:t>
      </w:r>
    </w:p>
    <w:p w14:paraId="6DA63870" w14:textId="77777777" w:rsidR="000D2BC0" w:rsidRPr="004347F7" w:rsidRDefault="000D2BC0" w:rsidP="00371B0B">
      <w:pPr>
        <w:pStyle w:val="BodyText"/>
        <w:spacing w:before="200" w:after="200" w:line="249" w:lineRule="auto"/>
        <w:rPr>
          <w:rFonts w:ascii="Acumin Pro" w:hAnsi="Acumin Pro"/>
          <w:color w:val="231F20"/>
        </w:rPr>
      </w:pPr>
      <w:r w:rsidRPr="004347F7">
        <w:rPr>
          <w:rFonts w:ascii="Acumin Pro" w:hAnsi="Acumin Pro"/>
          <w:color w:val="231F20"/>
        </w:rPr>
        <w:t>The offence states that engaging in protest, advocacy, or dissent, or engaging in a strike, lockout or other industrial action, on its own, does not provide a sufficient basis to infer that a person is trying to provide a benefit to a foreign state.</w:t>
      </w:r>
    </w:p>
    <w:p w14:paraId="1CD0150E" w14:textId="77777777" w:rsidR="000D2BC0" w:rsidRPr="00371B0B" w:rsidRDefault="000D2BC0" w:rsidP="00371B0B">
      <w:pPr>
        <w:pStyle w:val="BodyText"/>
        <w:spacing w:before="200" w:after="200" w:line="249" w:lineRule="auto"/>
        <w:rPr>
          <w:rFonts w:ascii="Acumin Pro" w:hAnsi="Acumin Pro"/>
          <w:b/>
          <w:bCs/>
          <w:color w:val="231F20"/>
        </w:rPr>
      </w:pPr>
      <w:r w:rsidRPr="00371B0B">
        <w:rPr>
          <w:rFonts w:ascii="Acumin Pro" w:hAnsi="Acumin Pro"/>
          <w:b/>
          <w:bCs/>
          <w:color w:val="231F20"/>
        </w:rPr>
        <w:t>This is a serious offence and has a maximum penalty of 10 years’ imprisonment.</w:t>
      </w:r>
    </w:p>
    <w:p w14:paraId="4357D109" w14:textId="77777777" w:rsidR="009947DF" w:rsidRPr="004347F7" w:rsidRDefault="009947DF" w:rsidP="009947DF">
      <w:pPr>
        <w:pStyle w:val="Heading2"/>
        <w:spacing w:before="360" w:line="180" w:lineRule="auto"/>
        <w:ind w:left="0"/>
        <w:rPr>
          <w:rFonts w:ascii="Acumin Pro" w:hAnsi="Acumin Pro"/>
          <w:color w:val="391335"/>
        </w:rPr>
      </w:pPr>
      <w:r w:rsidRPr="004347F7">
        <w:rPr>
          <w:rFonts w:ascii="Acumin Pro" w:hAnsi="Acumin Pro"/>
          <w:color w:val="391335"/>
        </w:rPr>
        <w:t>Other amendments to the Crimes (Countering Foreign Interference) Amendment Act</w:t>
      </w:r>
    </w:p>
    <w:p w14:paraId="1AFB1446" w14:textId="77777777" w:rsidR="009947DF" w:rsidRPr="009947DF" w:rsidRDefault="009947DF" w:rsidP="009947DF">
      <w:pPr>
        <w:pStyle w:val="BodyText"/>
        <w:spacing w:before="200" w:after="200" w:line="249" w:lineRule="auto"/>
        <w:rPr>
          <w:rFonts w:ascii="Acumin Pro" w:hAnsi="Acumin Pro"/>
          <w:color w:val="231F20"/>
        </w:rPr>
      </w:pPr>
      <w:r w:rsidRPr="004347F7">
        <w:rPr>
          <w:rFonts w:ascii="Acumin Pro" w:hAnsi="Acumin Pro"/>
          <w:color w:val="231F20"/>
        </w:rPr>
        <w:t>In addition to the new</w:t>
      </w:r>
      <w:r w:rsidRPr="009947DF">
        <w:rPr>
          <w:rFonts w:ascii="Acumin Pro" w:hAnsi="Acumin Pro"/>
          <w:color w:val="231F20"/>
        </w:rPr>
        <w:t xml:space="preserve"> </w:t>
      </w:r>
      <w:r w:rsidRPr="004347F7">
        <w:rPr>
          <w:rFonts w:ascii="Acumin Pro" w:hAnsi="Acumin Pro"/>
          <w:color w:val="231F20"/>
        </w:rPr>
        <w:t>foreign interference-related offences, other</w:t>
      </w:r>
      <w:r w:rsidRPr="009947DF">
        <w:rPr>
          <w:rFonts w:ascii="Acumin Pro" w:hAnsi="Acumin Pro"/>
          <w:color w:val="231F20"/>
        </w:rPr>
        <w:t xml:space="preserve"> </w:t>
      </w:r>
      <w:r w:rsidRPr="004347F7">
        <w:rPr>
          <w:rFonts w:ascii="Acumin Pro" w:hAnsi="Acumin Pro"/>
          <w:color w:val="231F20"/>
        </w:rPr>
        <w:t>changes</w:t>
      </w:r>
      <w:r w:rsidRPr="009947DF">
        <w:rPr>
          <w:rFonts w:ascii="Acumin Pro" w:hAnsi="Acumin Pro"/>
          <w:color w:val="231F20"/>
        </w:rPr>
        <w:t xml:space="preserve"> </w:t>
      </w:r>
      <w:r w:rsidRPr="004347F7">
        <w:rPr>
          <w:rFonts w:ascii="Acumin Pro" w:hAnsi="Acumin Pro"/>
          <w:color w:val="231F20"/>
        </w:rPr>
        <w:t>to the Crimes</w:t>
      </w:r>
      <w:r w:rsidRPr="009947DF">
        <w:rPr>
          <w:rFonts w:ascii="Acumin Pro" w:hAnsi="Acumin Pro"/>
          <w:color w:val="231F20"/>
        </w:rPr>
        <w:t xml:space="preserve"> </w:t>
      </w:r>
      <w:r w:rsidRPr="004347F7">
        <w:rPr>
          <w:rFonts w:ascii="Acumin Pro" w:hAnsi="Acumin Pro"/>
          <w:color w:val="231F20"/>
        </w:rPr>
        <w:t>Act strengthened protections against activities that can prejudice New Zealand’s security or defence.</w:t>
      </w:r>
    </w:p>
    <w:p w14:paraId="5D241422" w14:textId="21E1A5CD" w:rsidR="009947DF" w:rsidRPr="009947DF" w:rsidRDefault="009947DF" w:rsidP="009947DF">
      <w:pPr>
        <w:pStyle w:val="BodyText"/>
        <w:spacing w:before="200" w:after="200" w:line="249" w:lineRule="auto"/>
        <w:rPr>
          <w:rFonts w:ascii="Acumin Pro" w:hAnsi="Acumin Pro"/>
          <w:color w:val="231F20"/>
        </w:rPr>
      </w:pPr>
      <w:hyperlink r:id="rId9" w:history="1">
        <w:r w:rsidRPr="00CC55FF">
          <w:rPr>
            <w:rStyle w:val="Hyperlink"/>
            <w:rFonts w:ascii="Acumin Pro" w:hAnsi="Acumin Pro"/>
          </w:rPr>
          <w:t>Learn more about the other amendments on the Ministry of Justice website</w:t>
        </w:r>
      </w:hyperlink>
    </w:p>
    <w:p w14:paraId="4B7FDD41" w14:textId="77777777" w:rsidR="009947DF" w:rsidRPr="004347F7" w:rsidRDefault="009947DF" w:rsidP="00CC55FF">
      <w:pPr>
        <w:pStyle w:val="Heading2"/>
        <w:spacing w:before="360" w:line="180" w:lineRule="auto"/>
        <w:ind w:left="0"/>
        <w:rPr>
          <w:rFonts w:ascii="Acumin Pro" w:hAnsi="Acumin Pro"/>
          <w:color w:val="391335"/>
        </w:rPr>
      </w:pPr>
      <w:r w:rsidRPr="004347F7">
        <w:rPr>
          <w:rFonts w:ascii="Acumin Pro" w:hAnsi="Acumin Pro"/>
          <w:color w:val="391335"/>
        </w:rPr>
        <w:t>Learn more</w:t>
      </w:r>
    </w:p>
    <w:p w14:paraId="33D41744" w14:textId="612C5C59" w:rsidR="00814EF6" w:rsidRPr="00CC55FF" w:rsidRDefault="009947DF" w:rsidP="00814EF6">
      <w:pPr>
        <w:pStyle w:val="BodyText"/>
        <w:spacing w:before="200" w:after="200" w:line="249" w:lineRule="auto"/>
        <w:rPr>
          <w:rFonts w:ascii="Acumin Pro" w:hAnsi="Acumin Pro"/>
        </w:rPr>
      </w:pPr>
      <w:hyperlink r:id="rId10" w:history="1">
        <w:r w:rsidRPr="003B4D5B">
          <w:rPr>
            <w:rStyle w:val="Hyperlink"/>
            <w:rFonts w:ascii="Acumin Pro" w:hAnsi="Acumin Pro"/>
          </w:rPr>
          <w:t>Learn more about Crimes (Countering Foreign Interference) Amendment Act on the Ministry of Justice website</w:t>
        </w:r>
      </w:hyperlink>
    </w:p>
    <w:sectPr w:rsidR="00814EF6" w:rsidRPr="00CC55FF" w:rsidSect="00DD4A05">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86C85" w14:textId="77777777" w:rsidR="005508BC" w:rsidRDefault="005508BC">
      <w:r>
        <w:separator/>
      </w:r>
    </w:p>
  </w:endnote>
  <w:endnote w:type="continuationSeparator" w:id="0">
    <w:p w14:paraId="4CA7813F" w14:textId="77777777" w:rsidR="005508BC" w:rsidRDefault="00550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0508F9A8" w:rsidR="00CB2BD2" w:rsidRPr="00216311" w:rsidRDefault="005C2194" w:rsidP="00216311">
    <w:pPr>
      <w:spacing w:before="22"/>
      <w:rPr>
        <w:rFonts w:ascii="Acumin Pro" w:hAnsi="Acumin Pro"/>
        <w:b/>
        <w:sz w:val="20"/>
        <w:szCs w:val="20"/>
      </w:rPr>
    </w:pPr>
    <w:r>
      <w:rPr>
        <w:rFonts w:ascii="Acumin Pro" w:hAnsi="Acumin Pro"/>
        <w:b/>
        <w:color w:val="391335"/>
        <w:sz w:val="20"/>
        <w:szCs w:val="20"/>
      </w:rPr>
      <w:t>Crimes amendment act 2025</w:t>
    </w:r>
    <w:r w:rsidR="00216311" w:rsidRPr="00216311">
      <w:rPr>
        <w:rFonts w:ascii="Acumin Pro" w:hAnsi="Acumin Pro"/>
        <w:b/>
        <w:color w:val="391335"/>
        <w:spacing w:val="-2"/>
        <w:sz w:val="20"/>
        <w:szCs w:val="20"/>
      </w:rPr>
      <w:t xml:space="preserve"> </w:t>
    </w:r>
    <w:r w:rsidR="00216311" w:rsidRPr="00216311">
      <w:rPr>
        <w:rFonts w:ascii="Acumin Pro" w:hAnsi="Acumin Pro"/>
        <w:b/>
        <w:color w:val="391335"/>
        <w:spacing w:val="-2"/>
        <w:sz w:val="20"/>
        <w:szCs w:val="20"/>
      </w:rPr>
      <w:tab/>
    </w:r>
    <w:r w:rsidR="00216311" w:rsidRPr="00216311">
      <w:rPr>
        <w:rFonts w:ascii="Acumin Pro" w:hAnsi="Acumin Pro"/>
        <w:b/>
        <w:color w:val="391335"/>
        <w:spacing w:val="-2"/>
        <w:sz w:val="20"/>
        <w:szCs w:val="20"/>
      </w:rPr>
      <w:tab/>
    </w:r>
    <w:r w:rsidR="00216311" w:rsidRPr="00216311">
      <w:rPr>
        <w:rFonts w:ascii="Acumin Pro" w:hAnsi="Acumin Pro"/>
        <w:b/>
        <w:color w:val="391335"/>
        <w:spacing w:val="-2"/>
        <w:sz w:val="20"/>
        <w:szCs w:val="20"/>
      </w:rPr>
      <w:tab/>
    </w:r>
    <w:r w:rsidR="00216311" w:rsidRPr="00216311">
      <w:rPr>
        <w:rFonts w:ascii="Acumin Pro" w:hAnsi="Acumin Pro"/>
        <w:b/>
        <w:color w:val="391335"/>
        <w:spacing w:val="-2"/>
        <w:sz w:val="20"/>
        <w:szCs w:val="20"/>
      </w:rPr>
      <w:tab/>
    </w:r>
    <w:r w:rsidR="00216311" w:rsidRPr="00216311">
      <w:rPr>
        <w:rFonts w:ascii="Acumin Pro" w:hAnsi="Acumin Pro"/>
        <w:b/>
        <w:color w:val="391335"/>
        <w:spacing w:val="-2"/>
        <w:sz w:val="20"/>
        <w:szCs w:val="20"/>
      </w:rPr>
      <w:tab/>
    </w:r>
    <w:r w:rsidR="00216311" w:rsidRPr="00216311">
      <w:rPr>
        <w:rFonts w:ascii="Acumin Pro" w:hAnsi="Acumin Pro"/>
        <w:b/>
        <w:color w:val="391335"/>
        <w:spacing w:val="-2"/>
        <w:sz w:val="20"/>
        <w:szCs w:val="20"/>
      </w:rPr>
      <w:tab/>
    </w:r>
    <w:r w:rsidR="00216311" w:rsidRPr="00216311">
      <w:rPr>
        <w:rFonts w:ascii="Acumin Pro" w:hAnsi="Acumin Pro"/>
        <w:b/>
        <w:color w:val="391335"/>
        <w:spacing w:val="-2"/>
        <w:sz w:val="20"/>
        <w:szCs w:val="20"/>
      </w:rPr>
      <w:tab/>
    </w:r>
    <w:r w:rsidR="00216311">
      <w:rPr>
        <w:rFonts w:ascii="Acumin Pro" w:hAnsi="Acumin Pro"/>
        <w:b/>
        <w:color w:val="391335"/>
        <w:spacing w:val="-2"/>
        <w:sz w:val="20"/>
        <w:szCs w:val="20"/>
      </w:rPr>
      <w:t xml:space="preserve"> </w:t>
    </w:r>
    <w:r w:rsidR="00216311" w:rsidRPr="00216311">
      <w:rPr>
        <w:rFonts w:ascii="Acumin Pro" w:hAnsi="Acumin Pro"/>
        <w:b/>
        <w:color w:val="391335"/>
        <w:spacing w:val="-2"/>
        <w:sz w:val="20"/>
        <w:szCs w:val="20"/>
      </w:rPr>
      <w:tab/>
    </w:r>
    <w:r w:rsidR="00216311"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EndPr>
        <w:rPr>
          <w:noProof/>
        </w:rPr>
      </w:sdtEndPr>
      <w:sdtContent>
        <w:r w:rsidR="00CB2BD2" w:rsidRPr="00216311">
          <w:rPr>
            <w:rFonts w:ascii="Acumin Pro" w:hAnsi="Acumin Pro"/>
            <w:sz w:val="20"/>
            <w:szCs w:val="20"/>
          </w:rPr>
          <w:fldChar w:fldCharType="begin"/>
        </w:r>
        <w:r w:rsidR="00CB2BD2" w:rsidRPr="00216311">
          <w:rPr>
            <w:rFonts w:ascii="Acumin Pro" w:hAnsi="Acumin Pro"/>
            <w:sz w:val="20"/>
            <w:szCs w:val="20"/>
          </w:rPr>
          <w:instrText xml:space="preserve"> PAGE   \* MERGEFORMAT </w:instrText>
        </w:r>
        <w:r w:rsidR="00CB2BD2" w:rsidRPr="00216311">
          <w:rPr>
            <w:rFonts w:ascii="Acumin Pro" w:hAnsi="Acumin Pro"/>
            <w:sz w:val="20"/>
            <w:szCs w:val="20"/>
          </w:rPr>
          <w:fldChar w:fldCharType="separate"/>
        </w:r>
        <w:r w:rsidR="00CB2BD2" w:rsidRPr="00216311">
          <w:rPr>
            <w:rFonts w:ascii="Acumin Pro" w:hAnsi="Acumin Pro"/>
            <w:noProof/>
            <w:sz w:val="20"/>
            <w:szCs w:val="20"/>
          </w:rPr>
          <w:t>2</w:t>
        </w:r>
        <w:r w:rsidR="00CB2BD2" w:rsidRPr="00216311">
          <w:rPr>
            <w:rFonts w:ascii="Acumin Pro" w:hAnsi="Acumin Pro"/>
            <w:noProof/>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CC7DE" w14:textId="77777777" w:rsidR="005508BC" w:rsidRDefault="005508BC">
      <w:r>
        <w:separator/>
      </w:r>
    </w:p>
  </w:footnote>
  <w:footnote w:type="continuationSeparator" w:id="0">
    <w:p w14:paraId="33558AA8" w14:textId="77777777" w:rsidR="005508BC" w:rsidRDefault="00550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en-US" w:eastAsia="en-US" w:bidi="ar-SA"/>
      </w:rPr>
    </w:lvl>
    <w:lvl w:ilvl="1" w:tplc="FFFFFFFF">
      <w:numFmt w:val="bullet"/>
      <w:lvlText w:val="•"/>
      <w:lvlJc w:val="left"/>
      <w:pPr>
        <w:ind w:left="2018" w:hanging="360"/>
      </w:pPr>
      <w:rPr>
        <w:rFonts w:hint="default"/>
        <w:lang w:val="en-US" w:eastAsia="en-US" w:bidi="ar-SA"/>
      </w:rPr>
    </w:lvl>
    <w:lvl w:ilvl="2" w:tplc="FFFFFFFF">
      <w:numFmt w:val="bullet"/>
      <w:lvlText w:val="•"/>
      <w:lvlJc w:val="left"/>
      <w:pPr>
        <w:ind w:left="2896" w:hanging="360"/>
      </w:pPr>
      <w:rPr>
        <w:rFonts w:hint="default"/>
        <w:lang w:val="en-US" w:eastAsia="en-US" w:bidi="ar-SA"/>
      </w:rPr>
    </w:lvl>
    <w:lvl w:ilvl="3" w:tplc="FFFFFFFF">
      <w:numFmt w:val="bullet"/>
      <w:lvlText w:val="•"/>
      <w:lvlJc w:val="left"/>
      <w:pPr>
        <w:ind w:left="3774" w:hanging="360"/>
      </w:pPr>
      <w:rPr>
        <w:rFonts w:hint="default"/>
        <w:lang w:val="en-US" w:eastAsia="en-US" w:bidi="ar-SA"/>
      </w:rPr>
    </w:lvl>
    <w:lvl w:ilvl="4" w:tplc="FFFFFFFF">
      <w:numFmt w:val="bullet"/>
      <w:lvlText w:val="•"/>
      <w:lvlJc w:val="left"/>
      <w:pPr>
        <w:ind w:left="4653" w:hanging="360"/>
      </w:pPr>
      <w:rPr>
        <w:rFonts w:hint="default"/>
        <w:lang w:val="en-US" w:eastAsia="en-US" w:bidi="ar-SA"/>
      </w:rPr>
    </w:lvl>
    <w:lvl w:ilvl="5" w:tplc="FFFFFFFF">
      <w:numFmt w:val="bullet"/>
      <w:lvlText w:val="•"/>
      <w:lvlJc w:val="left"/>
      <w:pPr>
        <w:ind w:left="5531" w:hanging="360"/>
      </w:pPr>
      <w:rPr>
        <w:rFonts w:hint="default"/>
        <w:lang w:val="en-US" w:eastAsia="en-US" w:bidi="ar-SA"/>
      </w:rPr>
    </w:lvl>
    <w:lvl w:ilvl="6" w:tplc="FFFFFFFF">
      <w:numFmt w:val="bullet"/>
      <w:lvlText w:val="•"/>
      <w:lvlJc w:val="left"/>
      <w:pPr>
        <w:ind w:left="6409" w:hanging="360"/>
      </w:pPr>
      <w:rPr>
        <w:rFonts w:hint="default"/>
        <w:lang w:val="en-US" w:eastAsia="en-US" w:bidi="ar-SA"/>
      </w:rPr>
    </w:lvl>
    <w:lvl w:ilvl="7" w:tplc="FFFFFFFF">
      <w:numFmt w:val="bullet"/>
      <w:lvlText w:val="•"/>
      <w:lvlJc w:val="left"/>
      <w:pPr>
        <w:ind w:left="7287" w:hanging="360"/>
      </w:pPr>
      <w:rPr>
        <w:rFonts w:hint="default"/>
        <w:lang w:val="en-US" w:eastAsia="en-US" w:bidi="ar-SA"/>
      </w:rPr>
    </w:lvl>
    <w:lvl w:ilvl="8" w:tplc="FFFFFFFF">
      <w:numFmt w:val="bullet"/>
      <w:lvlText w:val="•"/>
      <w:lvlJc w:val="left"/>
      <w:pPr>
        <w:ind w:left="8166" w:hanging="360"/>
      </w:pPr>
      <w:rPr>
        <w:rFonts w:hint="default"/>
        <w:lang w:val="en-US" w:eastAsia="en-US" w:bidi="ar-SA"/>
      </w:rPr>
    </w:lvl>
  </w:abstractNum>
  <w:abstractNum w:abstractNumId="1" w15:restartNumberingAfterBreak="0">
    <w:nsid w:val="1A416385"/>
    <w:multiLevelType w:val="hybridMultilevel"/>
    <w:tmpl w:val="44FE1C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32C10F0"/>
    <w:multiLevelType w:val="hybridMultilevel"/>
    <w:tmpl w:val="E45AE3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6D857B7"/>
    <w:multiLevelType w:val="hybridMultilevel"/>
    <w:tmpl w:val="977CFEE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ar-SA"/>
      </w:rPr>
    </w:lvl>
    <w:lvl w:ilvl="1" w:tplc="D3EE025A">
      <w:numFmt w:val="bullet"/>
      <w:lvlText w:val="•"/>
      <w:lvlJc w:val="left"/>
      <w:pPr>
        <w:ind w:left="2018" w:hanging="360"/>
      </w:pPr>
      <w:rPr>
        <w:rFonts w:hint="default"/>
        <w:lang w:val="en-US" w:eastAsia="en-US" w:bidi="ar-SA"/>
      </w:rPr>
    </w:lvl>
    <w:lvl w:ilvl="2" w:tplc="9718221A">
      <w:numFmt w:val="bullet"/>
      <w:lvlText w:val="•"/>
      <w:lvlJc w:val="left"/>
      <w:pPr>
        <w:ind w:left="2896" w:hanging="360"/>
      </w:pPr>
      <w:rPr>
        <w:rFonts w:hint="default"/>
        <w:lang w:val="en-US" w:eastAsia="en-US" w:bidi="ar-SA"/>
      </w:rPr>
    </w:lvl>
    <w:lvl w:ilvl="3" w:tplc="B82A9B58">
      <w:numFmt w:val="bullet"/>
      <w:lvlText w:val="•"/>
      <w:lvlJc w:val="left"/>
      <w:pPr>
        <w:ind w:left="3774" w:hanging="360"/>
      </w:pPr>
      <w:rPr>
        <w:rFonts w:hint="default"/>
        <w:lang w:val="en-US" w:eastAsia="en-US" w:bidi="ar-SA"/>
      </w:rPr>
    </w:lvl>
    <w:lvl w:ilvl="4" w:tplc="EA1AB054">
      <w:numFmt w:val="bullet"/>
      <w:lvlText w:val="•"/>
      <w:lvlJc w:val="left"/>
      <w:pPr>
        <w:ind w:left="4653" w:hanging="360"/>
      </w:pPr>
      <w:rPr>
        <w:rFonts w:hint="default"/>
        <w:lang w:val="en-US" w:eastAsia="en-US" w:bidi="ar-SA"/>
      </w:rPr>
    </w:lvl>
    <w:lvl w:ilvl="5" w:tplc="13481A2A">
      <w:numFmt w:val="bullet"/>
      <w:lvlText w:val="•"/>
      <w:lvlJc w:val="left"/>
      <w:pPr>
        <w:ind w:left="5531" w:hanging="360"/>
      </w:pPr>
      <w:rPr>
        <w:rFonts w:hint="default"/>
        <w:lang w:val="en-US" w:eastAsia="en-US" w:bidi="ar-SA"/>
      </w:rPr>
    </w:lvl>
    <w:lvl w:ilvl="6" w:tplc="19D8BF8E">
      <w:numFmt w:val="bullet"/>
      <w:lvlText w:val="•"/>
      <w:lvlJc w:val="left"/>
      <w:pPr>
        <w:ind w:left="6409" w:hanging="360"/>
      </w:pPr>
      <w:rPr>
        <w:rFonts w:hint="default"/>
        <w:lang w:val="en-US" w:eastAsia="en-US" w:bidi="ar-SA"/>
      </w:rPr>
    </w:lvl>
    <w:lvl w:ilvl="7" w:tplc="36409A50">
      <w:numFmt w:val="bullet"/>
      <w:lvlText w:val="•"/>
      <w:lvlJc w:val="left"/>
      <w:pPr>
        <w:ind w:left="7287" w:hanging="360"/>
      </w:pPr>
      <w:rPr>
        <w:rFonts w:hint="default"/>
        <w:lang w:val="en-US" w:eastAsia="en-US" w:bidi="ar-SA"/>
      </w:rPr>
    </w:lvl>
    <w:lvl w:ilvl="8" w:tplc="94D646C0">
      <w:numFmt w:val="bullet"/>
      <w:lvlText w:val="•"/>
      <w:lvlJc w:val="left"/>
      <w:pPr>
        <w:ind w:left="8166" w:hanging="360"/>
      </w:pPr>
      <w:rPr>
        <w:rFonts w:hint="default"/>
        <w:lang w:val="en-US" w:eastAsia="en-US" w:bidi="ar-SA"/>
      </w:rPr>
    </w:lvl>
  </w:abstractNum>
  <w:abstractNum w:abstractNumId="7"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6DA793E"/>
    <w:multiLevelType w:val="hybridMultilevel"/>
    <w:tmpl w:val="083A19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88D0A72"/>
    <w:multiLevelType w:val="hybridMultilevel"/>
    <w:tmpl w:val="F47603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49103940">
    <w:abstractNumId w:val="6"/>
  </w:num>
  <w:num w:numId="2" w16cid:durableId="667051799">
    <w:abstractNumId w:val="0"/>
  </w:num>
  <w:num w:numId="3" w16cid:durableId="1767731642">
    <w:abstractNumId w:val="4"/>
  </w:num>
  <w:num w:numId="4" w16cid:durableId="1960796134">
    <w:abstractNumId w:val="5"/>
  </w:num>
  <w:num w:numId="5" w16cid:durableId="500583820">
    <w:abstractNumId w:val="7"/>
  </w:num>
  <w:num w:numId="6" w16cid:durableId="1927499972">
    <w:abstractNumId w:val="3"/>
  </w:num>
  <w:num w:numId="7" w16cid:durableId="2025474452">
    <w:abstractNumId w:val="9"/>
  </w:num>
  <w:num w:numId="8" w16cid:durableId="884945723">
    <w:abstractNumId w:val="2"/>
  </w:num>
  <w:num w:numId="9" w16cid:durableId="2113472264">
    <w:abstractNumId w:val="8"/>
  </w:num>
  <w:num w:numId="10" w16cid:durableId="274531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32D94"/>
    <w:rsid w:val="00033657"/>
    <w:rsid w:val="000340DF"/>
    <w:rsid w:val="000360AA"/>
    <w:rsid w:val="0004059A"/>
    <w:rsid w:val="00040763"/>
    <w:rsid w:val="0008019C"/>
    <w:rsid w:val="00082506"/>
    <w:rsid w:val="00084225"/>
    <w:rsid w:val="000A40BE"/>
    <w:rsid w:val="000A5498"/>
    <w:rsid w:val="000A7CB3"/>
    <w:rsid w:val="000D2BC0"/>
    <w:rsid w:val="000D3F74"/>
    <w:rsid w:val="000D45BB"/>
    <w:rsid w:val="000F151B"/>
    <w:rsid w:val="000F38E0"/>
    <w:rsid w:val="0010365D"/>
    <w:rsid w:val="00103926"/>
    <w:rsid w:val="00107F90"/>
    <w:rsid w:val="0012143D"/>
    <w:rsid w:val="001249FE"/>
    <w:rsid w:val="00124F1A"/>
    <w:rsid w:val="00127EED"/>
    <w:rsid w:val="00130C4F"/>
    <w:rsid w:val="0013496A"/>
    <w:rsid w:val="001412DB"/>
    <w:rsid w:val="0014390E"/>
    <w:rsid w:val="001558B4"/>
    <w:rsid w:val="001617A4"/>
    <w:rsid w:val="00164C0A"/>
    <w:rsid w:val="00175D6A"/>
    <w:rsid w:val="00186CD4"/>
    <w:rsid w:val="00196527"/>
    <w:rsid w:val="001A22B7"/>
    <w:rsid w:val="001A2DF9"/>
    <w:rsid w:val="001A3815"/>
    <w:rsid w:val="001B48C9"/>
    <w:rsid w:val="001C15CC"/>
    <w:rsid w:val="001C20DA"/>
    <w:rsid w:val="001C423C"/>
    <w:rsid w:val="001D0581"/>
    <w:rsid w:val="001D74F9"/>
    <w:rsid w:val="001E7190"/>
    <w:rsid w:val="001E7572"/>
    <w:rsid w:val="001E7C62"/>
    <w:rsid w:val="002030B5"/>
    <w:rsid w:val="00204A04"/>
    <w:rsid w:val="00204CF5"/>
    <w:rsid w:val="00206BA8"/>
    <w:rsid w:val="00216311"/>
    <w:rsid w:val="00216680"/>
    <w:rsid w:val="002230CB"/>
    <w:rsid w:val="002251FA"/>
    <w:rsid w:val="002327CF"/>
    <w:rsid w:val="00233370"/>
    <w:rsid w:val="00233C52"/>
    <w:rsid w:val="00245D5D"/>
    <w:rsid w:val="00254D87"/>
    <w:rsid w:val="002657E5"/>
    <w:rsid w:val="002771AF"/>
    <w:rsid w:val="00281FEB"/>
    <w:rsid w:val="00287761"/>
    <w:rsid w:val="00291DF8"/>
    <w:rsid w:val="00293EB5"/>
    <w:rsid w:val="002A6006"/>
    <w:rsid w:val="002C00BB"/>
    <w:rsid w:val="002C3C88"/>
    <w:rsid w:val="002C5157"/>
    <w:rsid w:val="002D1DD5"/>
    <w:rsid w:val="002E0F49"/>
    <w:rsid w:val="002F4C26"/>
    <w:rsid w:val="0030113C"/>
    <w:rsid w:val="00353757"/>
    <w:rsid w:val="00367435"/>
    <w:rsid w:val="00371B0B"/>
    <w:rsid w:val="00387FAA"/>
    <w:rsid w:val="00397BBE"/>
    <w:rsid w:val="003A2281"/>
    <w:rsid w:val="003B0CD0"/>
    <w:rsid w:val="003B33EA"/>
    <w:rsid w:val="003B4D5B"/>
    <w:rsid w:val="003C7D2A"/>
    <w:rsid w:val="003F18A0"/>
    <w:rsid w:val="004053C4"/>
    <w:rsid w:val="00412AED"/>
    <w:rsid w:val="00414A24"/>
    <w:rsid w:val="00420D8D"/>
    <w:rsid w:val="004401BC"/>
    <w:rsid w:val="00445920"/>
    <w:rsid w:val="004532E8"/>
    <w:rsid w:val="004565C7"/>
    <w:rsid w:val="004623DF"/>
    <w:rsid w:val="0046369E"/>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2FF3"/>
    <w:rsid w:val="004E73B1"/>
    <w:rsid w:val="004F343C"/>
    <w:rsid w:val="004F4CF3"/>
    <w:rsid w:val="00503AF1"/>
    <w:rsid w:val="00506830"/>
    <w:rsid w:val="00514629"/>
    <w:rsid w:val="005203C9"/>
    <w:rsid w:val="00526177"/>
    <w:rsid w:val="005301E7"/>
    <w:rsid w:val="005402EE"/>
    <w:rsid w:val="0054045F"/>
    <w:rsid w:val="005508BC"/>
    <w:rsid w:val="00554265"/>
    <w:rsid w:val="00554FBC"/>
    <w:rsid w:val="005568E2"/>
    <w:rsid w:val="00562A83"/>
    <w:rsid w:val="00562D02"/>
    <w:rsid w:val="00562D72"/>
    <w:rsid w:val="005654C1"/>
    <w:rsid w:val="005803B4"/>
    <w:rsid w:val="00582B37"/>
    <w:rsid w:val="00590A72"/>
    <w:rsid w:val="00591131"/>
    <w:rsid w:val="0059166B"/>
    <w:rsid w:val="00595144"/>
    <w:rsid w:val="005B262F"/>
    <w:rsid w:val="005B51A5"/>
    <w:rsid w:val="005C2194"/>
    <w:rsid w:val="005F29F7"/>
    <w:rsid w:val="005F30CB"/>
    <w:rsid w:val="005F5FB9"/>
    <w:rsid w:val="00606A79"/>
    <w:rsid w:val="0061017B"/>
    <w:rsid w:val="00612C4C"/>
    <w:rsid w:val="006139E1"/>
    <w:rsid w:val="00613A51"/>
    <w:rsid w:val="00614062"/>
    <w:rsid w:val="00632A52"/>
    <w:rsid w:val="00642100"/>
    <w:rsid w:val="00647D95"/>
    <w:rsid w:val="006501F5"/>
    <w:rsid w:val="00652503"/>
    <w:rsid w:val="00652CB0"/>
    <w:rsid w:val="00653309"/>
    <w:rsid w:val="00662544"/>
    <w:rsid w:val="00666E3F"/>
    <w:rsid w:val="00672491"/>
    <w:rsid w:val="0068699E"/>
    <w:rsid w:val="0069352A"/>
    <w:rsid w:val="00694935"/>
    <w:rsid w:val="006A2519"/>
    <w:rsid w:val="006A771E"/>
    <w:rsid w:val="006B032C"/>
    <w:rsid w:val="006B5468"/>
    <w:rsid w:val="006C7EA9"/>
    <w:rsid w:val="006E3DAD"/>
    <w:rsid w:val="006E5D60"/>
    <w:rsid w:val="006E7AF1"/>
    <w:rsid w:val="006F4EA0"/>
    <w:rsid w:val="006F529F"/>
    <w:rsid w:val="00705EF5"/>
    <w:rsid w:val="007122D0"/>
    <w:rsid w:val="00715641"/>
    <w:rsid w:val="00722A1B"/>
    <w:rsid w:val="0072309B"/>
    <w:rsid w:val="00723A96"/>
    <w:rsid w:val="00731715"/>
    <w:rsid w:val="007445CF"/>
    <w:rsid w:val="007452B6"/>
    <w:rsid w:val="007530DA"/>
    <w:rsid w:val="00753B59"/>
    <w:rsid w:val="00771F6F"/>
    <w:rsid w:val="00773891"/>
    <w:rsid w:val="00777E8A"/>
    <w:rsid w:val="00781E55"/>
    <w:rsid w:val="0078734C"/>
    <w:rsid w:val="00793C31"/>
    <w:rsid w:val="007A00DE"/>
    <w:rsid w:val="007A18F3"/>
    <w:rsid w:val="007A600D"/>
    <w:rsid w:val="007D1386"/>
    <w:rsid w:val="007D5569"/>
    <w:rsid w:val="007E0DC2"/>
    <w:rsid w:val="007E1B95"/>
    <w:rsid w:val="007E4963"/>
    <w:rsid w:val="007E7C27"/>
    <w:rsid w:val="00802AA8"/>
    <w:rsid w:val="00814EF6"/>
    <w:rsid w:val="008232A4"/>
    <w:rsid w:val="0082527B"/>
    <w:rsid w:val="0082746F"/>
    <w:rsid w:val="00831490"/>
    <w:rsid w:val="0084388A"/>
    <w:rsid w:val="00866039"/>
    <w:rsid w:val="008672A7"/>
    <w:rsid w:val="008779EC"/>
    <w:rsid w:val="00892D31"/>
    <w:rsid w:val="008A61E2"/>
    <w:rsid w:val="008E1E93"/>
    <w:rsid w:val="008E5DE5"/>
    <w:rsid w:val="008F5FC8"/>
    <w:rsid w:val="00912012"/>
    <w:rsid w:val="0091214D"/>
    <w:rsid w:val="009268F8"/>
    <w:rsid w:val="00931D67"/>
    <w:rsid w:val="009320CE"/>
    <w:rsid w:val="00940B28"/>
    <w:rsid w:val="00946B81"/>
    <w:rsid w:val="00950101"/>
    <w:rsid w:val="00977503"/>
    <w:rsid w:val="0097784B"/>
    <w:rsid w:val="0097785C"/>
    <w:rsid w:val="00977CBE"/>
    <w:rsid w:val="00981128"/>
    <w:rsid w:val="009828E7"/>
    <w:rsid w:val="00984C76"/>
    <w:rsid w:val="009947DF"/>
    <w:rsid w:val="0099726C"/>
    <w:rsid w:val="0099741F"/>
    <w:rsid w:val="009A311B"/>
    <w:rsid w:val="009A7127"/>
    <w:rsid w:val="009B6D7C"/>
    <w:rsid w:val="009C17A6"/>
    <w:rsid w:val="009C3B00"/>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80DF4"/>
    <w:rsid w:val="00A86179"/>
    <w:rsid w:val="00A9596B"/>
    <w:rsid w:val="00AA67F1"/>
    <w:rsid w:val="00AB5D90"/>
    <w:rsid w:val="00AB6125"/>
    <w:rsid w:val="00AC19A2"/>
    <w:rsid w:val="00AD2D00"/>
    <w:rsid w:val="00AD3F45"/>
    <w:rsid w:val="00AF7AF6"/>
    <w:rsid w:val="00AF7D66"/>
    <w:rsid w:val="00B043E1"/>
    <w:rsid w:val="00B13698"/>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94286"/>
    <w:rsid w:val="00CA2139"/>
    <w:rsid w:val="00CA543B"/>
    <w:rsid w:val="00CB2BD2"/>
    <w:rsid w:val="00CC55FF"/>
    <w:rsid w:val="00CC5DE4"/>
    <w:rsid w:val="00CD091C"/>
    <w:rsid w:val="00CD3E4C"/>
    <w:rsid w:val="00CE17BF"/>
    <w:rsid w:val="00CF2810"/>
    <w:rsid w:val="00CF3AC4"/>
    <w:rsid w:val="00D03751"/>
    <w:rsid w:val="00D06021"/>
    <w:rsid w:val="00D11A39"/>
    <w:rsid w:val="00D12D29"/>
    <w:rsid w:val="00D265C3"/>
    <w:rsid w:val="00D374A9"/>
    <w:rsid w:val="00D42AB0"/>
    <w:rsid w:val="00D43421"/>
    <w:rsid w:val="00D52DBD"/>
    <w:rsid w:val="00D667DE"/>
    <w:rsid w:val="00D6680C"/>
    <w:rsid w:val="00D75A28"/>
    <w:rsid w:val="00D771F4"/>
    <w:rsid w:val="00D84749"/>
    <w:rsid w:val="00D92B81"/>
    <w:rsid w:val="00DB2A69"/>
    <w:rsid w:val="00DB3845"/>
    <w:rsid w:val="00DB5367"/>
    <w:rsid w:val="00DC3C0D"/>
    <w:rsid w:val="00DD426D"/>
    <w:rsid w:val="00DD4A05"/>
    <w:rsid w:val="00DD5D7C"/>
    <w:rsid w:val="00DE2F96"/>
    <w:rsid w:val="00DF0B01"/>
    <w:rsid w:val="00E047E5"/>
    <w:rsid w:val="00E10B9D"/>
    <w:rsid w:val="00E118B8"/>
    <w:rsid w:val="00E25446"/>
    <w:rsid w:val="00E3598B"/>
    <w:rsid w:val="00E3796E"/>
    <w:rsid w:val="00E451CA"/>
    <w:rsid w:val="00E46A3F"/>
    <w:rsid w:val="00E60718"/>
    <w:rsid w:val="00E61AF0"/>
    <w:rsid w:val="00E9076B"/>
    <w:rsid w:val="00E93B9C"/>
    <w:rsid w:val="00E93FA8"/>
    <w:rsid w:val="00EB2D2D"/>
    <w:rsid w:val="00EC290C"/>
    <w:rsid w:val="00ED1F04"/>
    <w:rsid w:val="00ED4141"/>
    <w:rsid w:val="00ED60AC"/>
    <w:rsid w:val="00EE3843"/>
    <w:rsid w:val="00EE6A8A"/>
    <w:rsid w:val="00EF7E4D"/>
    <w:rsid w:val="00F032DD"/>
    <w:rsid w:val="00F03666"/>
    <w:rsid w:val="00F13337"/>
    <w:rsid w:val="00F14010"/>
    <w:rsid w:val="00F21406"/>
    <w:rsid w:val="00F2153E"/>
    <w:rsid w:val="00F27217"/>
    <w:rsid w:val="00F306E6"/>
    <w:rsid w:val="00F35278"/>
    <w:rsid w:val="00F378B4"/>
    <w:rsid w:val="00F4150A"/>
    <w:rsid w:val="00F445D8"/>
    <w:rsid w:val="00F44826"/>
    <w:rsid w:val="00F45304"/>
    <w:rsid w:val="00F5164A"/>
    <w:rsid w:val="00F54762"/>
    <w:rsid w:val="00F7220D"/>
    <w:rsid w:val="00F76722"/>
    <w:rsid w:val="00F7683A"/>
    <w:rsid w:val="00F76ED5"/>
    <w:rsid w:val="00F80B3C"/>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respond/report-fi" TargetMode="Externa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justice.govt.nz/justice-sector-policy/key-initiatives/countering-foreign-interference/" TargetMode="External"/><Relationship Id="rId4" Type="http://schemas.openxmlformats.org/officeDocument/2006/relationships/settings" Target="settings.xml"/><Relationship Id="rId9" Type="http://schemas.openxmlformats.org/officeDocument/2006/relationships/hyperlink" Target="https://www.justice.govt.nz/justice-sector-policy/key-initiatives/countering-foreign-interferenc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CRFIWEBSITE-145050222-761</_dlc_DocId>
    <_dlc_DocIdUrl xmlns="c78cdbf8-4243-4362-8765-2acd0e03065b">
      <Url>https://azurediagovt.sharepoint.com/sites/EXT-CommunityResiliencetoForeignInterferencewebsite_MEC/_layouts/15/DocIdRedir.aspx?ID=CRFIWEBSITE-145050222-761</Url>
      <Description>CRFIWEBSITE-145050222-761</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7889FC3E-B1AC-4383-9291-82E44E8EE9C1}">
  <ds:schemaRefs>
    <ds:schemaRef ds:uri="http://schemas.openxmlformats.org/officeDocument/2006/bibliography"/>
  </ds:schemaRefs>
</ds:datastoreItem>
</file>

<file path=customXml/itemProps2.xml><?xml version="1.0" encoding="utf-8"?>
<ds:datastoreItem xmlns:ds="http://schemas.openxmlformats.org/officeDocument/2006/customXml" ds:itemID="{ABE5BD4D-678E-4B99-96D2-F3DF4AC441A1}"/>
</file>

<file path=customXml/itemProps3.xml><?xml version="1.0" encoding="utf-8"?>
<ds:datastoreItem xmlns:ds="http://schemas.openxmlformats.org/officeDocument/2006/customXml" ds:itemID="{2C785E27-2248-4C44-B17A-08F4819787B9}"/>
</file>

<file path=customXml/itemProps4.xml><?xml version="1.0" encoding="utf-8"?>
<ds:datastoreItem xmlns:ds="http://schemas.openxmlformats.org/officeDocument/2006/customXml" ds:itemID="{90E4A1AD-93F0-46E8-8253-833FC1FD6115}"/>
</file>

<file path=customXml/itemProps5.xml><?xml version="1.0" encoding="utf-8"?>
<ds:datastoreItem xmlns:ds="http://schemas.openxmlformats.org/officeDocument/2006/customXml" ds:itemID="{C84AC89F-9CCF-49AD-8760-1C98388C2C3C}"/>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4742</Characters>
  <Application>Microsoft Office Word</Application>
  <DocSecurity>0</DocSecurity>
  <Lines>39</Lines>
  <Paragraphs>11</Paragraphs>
  <ScaleCrop>false</ScaleCrop>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2026-09-16T02:17:00Z</dcterms:created>
  <dcterms:modified xsi:type="dcterms:W3CDTF">2026-09-16T02:17:00Z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LastSaved">
    <vt:filetime>2026-04-09T00:00:00Z</vt:filetime>
  </property>
  <property fmtid="{D5CDD505-2E9C-101B-9397-08002B2CF9AE}" pid="4" name="d545d1b5010243bcae2cac870a559cbd">
    <vt:lpwstr/>
  </property>
  <property fmtid="{D5CDD505-2E9C-101B-9397-08002B2CF9AE}" pid="5" name="DIALegislation">
    <vt:lpwstr/>
  </property>
  <property fmtid="{D5CDD505-2E9C-101B-9397-08002B2CF9AE}" pid="6" name="a43c847a0bb444b9ba08276b667d1291">
    <vt:lpwstr/>
  </property>
  <property fmtid="{D5CDD505-2E9C-101B-9397-08002B2CF9AE}" pid="7" name="MediaServiceImageTags">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fb4cec6bda93410d8ae43a0f8dc367a2">
    <vt:lpwstr/>
  </property>
  <property fmtid="{D5CDD505-2E9C-101B-9397-08002B2CF9AE}" pid="13" name="c4e02c960b5544139e8046d663add723">
    <vt:lpwstr>Correspondence|dcd6b05f-dc80-4336-b228-09aebf3d212c</vt:lpwstr>
  </property>
  <property fmtid="{D5CDD505-2E9C-101B-9397-08002B2CF9AE}" pid="14" name="DIAEmailContentType">
    <vt:lpwstr>3;#Correspondence|dcd6b05f-dc80-4336-b228-09aebf3d212c</vt:lpwstr>
  </property>
  <property fmtid="{D5CDD505-2E9C-101B-9397-08002B2CF9AE}" pid="15" name="RevIMBCS">
    <vt:lpwstr/>
  </property>
  <property fmtid="{D5CDD505-2E9C-101B-9397-08002B2CF9AE}" pid="16" name="DIAMeetingDocumentType">
    <vt:lpwstr/>
  </property>
  <property fmtid="{D5CDD505-2E9C-101B-9397-08002B2CF9AE}" pid="17" name="DIAPlanningDocumentType">
    <vt:lpwstr/>
  </property>
  <property fmtid="{D5CDD505-2E9C-101B-9397-08002B2CF9AE}" pid="18" name="Creator">
    <vt:lpwstr>Adobe InDesign 21.3 (Windows)</vt:lpwstr>
  </property>
  <property fmtid="{D5CDD505-2E9C-101B-9397-08002B2CF9AE}" pid="19" name="DIAPortfolio">
    <vt:lpwstr/>
  </property>
  <property fmtid="{D5CDD505-2E9C-101B-9397-08002B2CF9AE}" pid="20" name="DIAOfficialEntity">
    <vt:lpwstr/>
  </property>
  <property fmtid="{D5CDD505-2E9C-101B-9397-08002B2CF9AE}" pid="21" name="DIAAdministrationDocumentType">
    <vt:lpwstr/>
  </property>
  <property fmtid="{D5CDD505-2E9C-101B-9397-08002B2CF9AE}" pid="22" name="Producer">
    <vt:lpwstr>Adobe PDF Library 18.0</vt:lpwstr>
  </property>
  <property fmtid="{D5CDD505-2E9C-101B-9397-08002B2CF9AE}" pid="23" name="e426f00ce1c04b36b10d4c3e43c2da46">
    <vt:lpwstr/>
  </property>
  <property fmtid="{D5CDD505-2E9C-101B-9397-08002B2CF9AE}" pid="24" name="DIAAnalysisDocumentType">
    <vt:lpwstr/>
  </property>
  <property fmtid="{D5CDD505-2E9C-101B-9397-08002B2CF9AE}" pid="25" name="Created">
    <vt:filetime>2026-04-09T00:00:00Z</vt:filetime>
  </property>
  <property fmtid="{D5CDD505-2E9C-101B-9397-08002B2CF9AE}" pid="26" name="n519a372ec7b434bb313ba820b4e8ea6">
    <vt:lpwstr/>
  </property>
  <property fmtid="{D5CDD505-2E9C-101B-9397-08002B2CF9AE}" pid="27" name="DIABriefingType">
    <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333a42f4-1abf-4956-b044-5b789b1104d4</vt:lpwstr>
  </property>
  <property fmtid="{D5CDD505-2E9C-101B-9397-08002B2CF9AE}" pid="33" name="DIASecurityClassification">
    <vt:lpwstr>2;#UNCLASSIFIED|2c10f15e-4fe4-4bec-ae91-1116436da94b</vt:lpwstr>
  </property>
</Properties>
</file>