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368E" w14:textId="4391CAFA" w:rsidR="009C2AD2" w:rsidRPr="00AE43B7" w:rsidRDefault="00C55FAC" w:rsidP="00FD68A0">
      <w:pPr>
        <w:pStyle w:val="Heading1"/>
        <w:bidi/>
        <w:ind w:left="0"/>
        <w:rPr>
          <w:rFonts w:ascii="Acumin Pro" w:hAnsi="Acumin Pro" w:cs="Acumin Pro"/>
        </w:rPr>
      </w:pPr>
      <w:r>
        <w:rPr>
          <w:rFonts w:ascii="Acumin Pro" w:hAnsi="Acumin Pro" w:cs="Acumin Pro"/>
          <w:color w:val="391335"/>
          <w:spacing w:val="-4"/>
          <w:rtl/>
        </w:rPr>
        <w:t>سفر به خارج از کشور و مداخلات خارجی</w:t>
      </w:r>
    </w:p>
    <w:p w14:paraId="2294368F" w14:textId="77777777" w:rsidR="009C2AD2" w:rsidRPr="00AE43B7" w:rsidRDefault="00C55FAC" w:rsidP="000364AB">
      <w:pPr>
        <w:pStyle w:val="BodyText"/>
        <w:bidi/>
        <w:spacing w:before="200" w:after="200" w:line="249" w:lineRule="auto"/>
        <w:rPr>
          <w:rFonts w:ascii="Acumin Pro" w:hAnsi="Acumin Pro" w:cs="Acumin Pro"/>
        </w:rPr>
      </w:pPr>
      <w:r>
        <w:rPr>
          <w:rFonts w:ascii="Acumin Pro" w:hAnsi="Acumin Pro" w:cs="Acumin Pro"/>
          <w:color w:val="231F20"/>
          <w:spacing w:val="-5"/>
          <w:w w:val="105"/>
          <w:rtl/>
        </w:rPr>
        <w:t>هنگام سفر به خارج از کشور، برخی افراد ممکن است از سوی مقامات خارجی، از جمله نهادهای امنیتی و اطلاعاتی آنها، با نظارت و بررسی های بیشتر مواجه شوند که میتواند بخشی از مداخلات خارجی باشد.</w:t>
      </w:r>
    </w:p>
    <w:p w14:paraId="22943691" w14:textId="6268C4A1" w:rsidR="009C2AD2" w:rsidRPr="00AE43B7" w:rsidRDefault="00C55FAC" w:rsidP="000364AB">
      <w:pPr>
        <w:pStyle w:val="BodyText"/>
        <w:bidi/>
        <w:spacing w:before="200" w:after="200" w:line="249" w:lineRule="auto"/>
        <w:rPr>
          <w:rFonts w:ascii="Acumin Pro" w:hAnsi="Acumin Pro" w:cs="Acumin Pro"/>
        </w:rPr>
      </w:pPr>
      <w:r>
        <w:rPr>
          <w:rFonts w:ascii="Acumin Pro" w:hAnsi="Acumin Pro" w:cs="Acumin Pro"/>
          <w:color w:val="231F20"/>
          <w:spacing w:val="-4"/>
          <w:w w:val="103"/>
          <w:rtl/>
        </w:rPr>
        <w:t>مهم است به یاد داشته باشید که بیشتر مسافران ممکن است چنین چیزی را تجربه نکنند و اینکه بررسی و نظارت در مرزها در سراسر جهان امری رایج، معمولاً عادی و اغلب غیرمرتبط با مداخلات خارجی است.</w:t>
      </w:r>
    </w:p>
    <w:p w14:paraId="22943693" w14:textId="73884628" w:rsidR="009C2AD2" w:rsidRPr="00AE7A01" w:rsidRDefault="00C55FAC" w:rsidP="00E956A8">
      <w:pPr>
        <w:pStyle w:val="BodyText"/>
        <w:bidi/>
        <w:spacing w:before="360"/>
        <w:rPr>
          <w:rFonts w:ascii="Acumin Pro" w:hAnsi="Acumin Pro" w:cs="Acumin Pro"/>
          <w:b/>
          <w:bCs/>
        </w:rPr>
      </w:pPr>
      <w:r>
        <w:rPr>
          <w:rFonts w:ascii="Acumin Pro" w:hAnsi="Acumin Pro" w:cs="Acumin Pro"/>
          <w:b/>
          <w:bCs/>
          <w:color w:val="231F20"/>
          <w:rtl/>
        </w:rPr>
        <w:t>افرادی که ممکن است در ارتباط با مداخلات خارجی با بررسی و نظارت بیشتری مواجه شوند شامل موارد زیر هستند:</w:t>
      </w:r>
    </w:p>
    <w:p w14:paraId="22943695" w14:textId="77777777"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rPr>
      </w:pPr>
      <w:r>
        <w:rPr>
          <w:rFonts w:ascii="Acumin Pro" w:hAnsi="Acumin Pro" w:cs="Acumin Pro"/>
          <w:color w:val="231F20"/>
          <w:spacing w:val="-2"/>
          <w:rtl/>
        </w:rPr>
        <w:t>افرادی که در نیوزیلند هدف قرار گرفته اند</w:t>
      </w:r>
    </w:p>
    <w:p w14:paraId="22943696" w14:textId="77777777"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rPr>
      </w:pPr>
      <w:r>
        <w:rPr>
          <w:rFonts w:ascii="Acumin Pro" w:hAnsi="Acumin Pro" w:cs="Acumin Pro"/>
          <w:color w:val="231F20"/>
          <w:spacing w:val="1"/>
          <w:rtl/>
        </w:rPr>
        <w:t>اعضای جامعه که به داشتن دیدگاه های مخالف یا منتقدانه از کشورهای خارجی معروف هستند</w:t>
      </w:r>
    </w:p>
    <w:p w14:paraId="22943697" w14:textId="16391AAA"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rPr>
      </w:pPr>
      <w:r>
        <w:rPr>
          <w:rFonts w:ascii="Acumin Pro" w:hAnsi="Acumin Pro" w:cs="Acumin Pro"/>
          <w:color w:val="231F20"/>
          <w:spacing w:val="4"/>
          <w:rtl/>
        </w:rPr>
        <w:t>رهبران، مدافعان و فعالان اجتماعی</w:t>
      </w:r>
    </w:p>
    <w:p w14:paraId="22943698" w14:textId="77777777"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rPr>
      </w:pPr>
      <w:r>
        <w:rPr>
          <w:rFonts w:ascii="Acumin Pro" w:hAnsi="Acumin Pro" w:cs="Acumin Pro"/>
          <w:color w:val="231F20"/>
          <w:spacing w:val="1"/>
          <w:rtl/>
        </w:rPr>
        <w:t>اعضای جامعه که به دلایل خانوادگی، اجتماعی یا کاری سفر می کنند</w:t>
      </w:r>
    </w:p>
    <w:p w14:paraId="22943699" w14:textId="77777777" w:rsidR="009C2AD2" w:rsidRPr="00AE43B7" w:rsidRDefault="00C55FAC" w:rsidP="008601FE">
      <w:pPr>
        <w:pStyle w:val="ListParagraph"/>
        <w:numPr>
          <w:ilvl w:val="0"/>
          <w:numId w:val="4"/>
        </w:numPr>
        <w:tabs>
          <w:tab w:val="left" w:pos="1145"/>
        </w:tabs>
        <w:bidi/>
        <w:spacing w:before="200" w:after="200" w:line="285" w:lineRule="auto"/>
        <w:ind w:left="714" w:hanging="357"/>
        <w:rPr>
          <w:rFonts w:ascii="Acumin Pro" w:hAnsi="Acumin Pro" w:cs="Acumin Pro"/>
        </w:rPr>
      </w:pPr>
      <w:r>
        <w:rPr>
          <w:rFonts w:ascii="Acumin Pro" w:hAnsi="Acumin Pro" w:cs="Acumin Pro"/>
          <w:color w:val="231F20"/>
          <w:rtl/>
        </w:rPr>
        <w:t>اعضای جامعه که برای دولت نیوزیلند یا شوراهای محلی کار میکنند، یا در نیوزیلند دارای سمت های انتخابی هستند</w:t>
      </w:r>
    </w:p>
    <w:p w14:paraId="2294369A" w14:textId="77777777" w:rsidR="009C2AD2" w:rsidRPr="00AE43B7" w:rsidRDefault="00C55FAC" w:rsidP="008601FE">
      <w:pPr>
        <w:pStyle w:val="ListParagraph"/>
        <w:numPr>
          <w:ilvl w:val="0"/>
          <w:numId w:val="4"/>
        </w:numPr>
        <w:tabs>
          <w:tab w:val="left" w:pos="1145"/>
        </w:tabs>
        <w:bidi/>
        <w:spacing w:before="200" w:after="200" w:line="285" w:lineRule="auto"/>
        <w:ind w:left="714" w:hanging="357"/>
        <w:rPr>
          <w:rFonts w:ascii="Acumin Pro" w:hAnsi="Acumin Pro" w:cs="Acumin Pro"/>
        </w:rPr>
      </w:pPr>
      <w:r>
        <w:rPr>
          <w:rFonts w:ascii="Acumin Pro" w:hAnsi="Acumin Pro" w:cs="Acumin Pro"/>
          <w:color w:val="231F20"/>
          <w:spacing w:val="-1"/>
          <w:w w:val="102"/>
          <w:rtl/>
        </w:rPr>
        <w:t>اعضای جامعه که در بخش های کلیدی دیگر، مانند زیرساخت های حیاتی، آموزش عالی و رسانه ها فعالیت دارند</w:t>
      </w:r>
    </w:p>
    <w:p w14:paraId="2294369B" w14:textId="77777777"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rPr>
      </w:pPr>
      <w:r>
        <w:rPr>
          <w:rFonts w:ascii="Acumin Pro" w:hAnsi="Acumin Pro" w:cs="Acumin Pro"/>
          <w:color w:val="231F20"/>
          <w:spacing w:val="-5"/>
          <w:rtl/>
        </w:rPr>
        <w:t>پناهندگان سابق.</w:t>
      </w:r>
    </w:p>
    <w:p w14:paraId="2294369D" w14:textId="4DF85FFF" w:rsidR="009C2AD2" w:rsidRPr="00AE7A01" w:rsidRDefault="00C55FAC" w:rsidP="00E956A8">
      <w:pPr>
        <w:pStyle w:val="BodyText"/>
        <w:bidi/>
        <w:spacing w:before="360"/>
        <w:rPr>
          <w:rFonts w:ascii="Acumin Pro" w:hAnsi="Acumin Pro" w:cs="Acumin Pro"/>
          <w:b/>
          <w:bCs/>
          <w:color w:val="231F20"/>
        </w:rPr>
      </w:pPr>
      <w:r>
        <w:rPr>
          <w:rFonts w:ascii="Acumin Pro" w:hAnsi="Acumin Pro" w:cs="Acumin Pro"/>
          <w:b/>
          <w:bCs/>
          <w:color w:val="231F20"/>
          <w:rtl/>
        </w:rPr>
        <w:t>نظر به کشور مقصد، افراد ممکن است با خطرات متفاوتی روبه رو شوند، از جمله:</w:t>
      </w:r>
    </w:p>
    <w:p w14:paraId="2294369F" w14:textId="77777777" w:rsidR="009C2AD2" w:rsidRPr="00144994" w:rsidRDefault="00C55FAC" w:rsidP="006A09EE">
      <w:pPr>
        <w:pStyle w:val="ListParagraph"/>
        <w:numPr>
          <w:ilvl w:val="0"/>
          <w:numId w:val="5"/>
        </w:numPr>
        <w:tabs>
          <w:tab w:val="left" w:pos="1145"/>
        </w:tabs>
        <w:bidi/>
        <w:spacing w:before="200" w:after="200" w:line="285" w:lineRule="auto"/>
        <w:ind w:left="714" w:hanging="357"/>
        <w:rPr>
          <w:rFonts w:ascii="Acumin Pro" w:hAnsi="Acumin Pro" w:cs="Acumin Pro"/>
        </w:rPr>
      </w:pPr>
      <w:r>
        <w:rPr>
          <w:rFonts w:ascii="Acumin Pro" w:hAnsi="Acumin Pro" w:cs="Acumin Pro"/>
          <w:b/>
          <w:bCs/>
          <w:color w:val="231F20"/>
          <w:spacing w:val="-7"/>
          <w:w w:val="105"/>
          <w:rtl/>
        </w:rPr>
        <w:t>در برخی موارد، ممکن است</w:t>
      </w:r>
      <w:r>
        <w:rPr>
          <w:rFonts w:ascii="Acumin Pro" w:hAnsi="Acumin Pro" w:cs="Acumin Pro"/>
          <w:color w:val="231F20"/>
          <w:spacing w:val="-7"/>
          <w:w w:val="105"/>
          <w:rtl/>
        </w:rPr>
        <w:t xml:space="preserve"> مقامات محلی افراد را بدون دلیل موجه درباره برنامه های سفر، فعالیت ها یا ارتباطات شان مورد پرسش قرار دهند</w:t>
      </w:r>
    </w:p>
    <w:p w14:paraId="229436A0" w14:textId="77777777" w:rsidR="009C2AD2" w:rsidRPr="00144994" w:rsidRDefault="00C55FAC" w:rsidP="006A09EE">
      <w:pPr>
        <w:pStyle w:val="ListParagraph"/>
        <w:numPr>
          <w:ilvl w:val="0"/>
          <w:numId w:val="5"/>
        </w:numPr>
        <w:tabs>
          <w:tab w:val="left" w:pos="1145"/>
        </w:tabs>
        <w:bidi/>
        <w:spacing w:before="200" w:after="200" w:line="285" w:lineRule="auto"/>
        <w:ind w:left="714" w:hanging="357"/>
        <w:rPr>
          <w:rFonts w:ascii="Acumin Pro" w:hAnsi="Acumin Pro" w:cs="Acumin Pro"/>
        </w:rPr>
      </w:pPr>
      <w:r>
        <w:rPr>
          <w:rFonts w:ascii="Acumin Pro" w:hAnsi="Acumin Pro" w:cs="Acumin Pro"/>
          <w:b/>
          <w:bCs/>
          <w:color w:val="231F20"/>
          <w:spacing w:val="-7"/>
          <w:w w:val="105"/>
          <w:rtl/>
        </w:rPr>
        <w:t>از ورود یا</w:t>
      </w:r>
      <w:r>
        <w:rPr>
          <w:rFonts w:ascii="Acumin Pro" w:hAnsi="Acumin Pro" w:cs="Acumin Pro"/>
          <w:b/>
          <w:bCs/>
          <w:color w:val="231F20"/>
          <w:w w:val="105"/>
          <w:rtl/>
        </w:rPr>
        <w:t xml:space="preserve"> خروج افراد ممکن است جلوگیری شود</w:t>
      </w:r>
      <w:r>
        <w:rPr>
          <w:rFonts w:ascii="Acumin Pro" w:hAnsi="Acumin Pro" w:cs="Acumin Pro"/>
          <w:color w:val="231F20"/>
          <w:spacing w:val="-6"/>
          <w:w w:val="105"/>
          <w:rtl/>
        </w:rPr>
        <w:t>، مانند ممانعت از سوار شدن به پرواز یا ورود از طریق گذرگاه های مرزی</w:t>
      </w:r>
    </w:p>
    <w:p w14:paraId="229436A1" w14:textId="77777777" w:rsidR="009C2AD2" w:rsidRPr="00144994" w:rsidRDefault="00C55FAC" w:rsidP="006A09EE">
      <w:pPr>
        <w:pStyle w:val="ListParagraph"/>
        <w:numPr>
          <w:ilvl w:val="0"/>
          <w:numId w:val="5"/>
        </w:numPr>
        <w:tabs>
          <w:tab w:val="left" w:pos="1145"/>
        </w:tabs>
        <w:bidi/>
        <w:spacing w:before="200" w:after="200" w:line="285" w:lineRule="auto"/>
        <w:ind w:left="714" w:hanging="357"/>
        <w:rPr>
          <w:rFonts w:ascii="Acumin Pro" w:hAnsi="Acumin Pro" w:cs="Acumin Pro"/>
        </w:rPr>
      </w:pPr>
      <w:r>
        <w:rPr>
          <w:rFonts w:ascii="Acumin Pro" w:hAnsi="Acumin Pro" w:cs="Acumin Pro"/>
          <w:b/>
          <w:bCs/>
          <w:color w:val="231F20"/>
          <w:w w:val="105"/>
          <w:rtl/>
        </w:rPr>
        <w:t>محدودیت هایی</w:t>
      </w:r>
      <w:r>
        <w:rPr>
          <w:rFonts w:ascii="Acumin Pro" w:hAnsi="Acumin Pro" w:cs="Acumin Pro"/>
          <w:b/>
          <w:bCs/>
          <w:color w:val="231F20"/>
          <w:spacing w:val="-3"/>
          <w:w w:val="105"/>
          <w:rtl/>
        </w:rPr>
        <w:t xml:space="preserve"> در زمینه سفر یا ویزه</w:t>
      </w:r>
      <w:r>
        <w:rPr>
          <w:rFonts w:ascii="Acumin Pro" w:hAnsi="Acumin Pro" w:cs="Acumin Pro"/>
          <w:color w:val="231F20"/>
          <w:spacing w:val="-1"/>
          <w:w w:val="105"/>
          <w:rtl/>
        </w:rPr>
        <w:t xml:space="preserve"> ممکن است اعمال شود، مانند محدود شدن رفت و آمد در داخل کشور</w:t>
      </w:r>
    </w:p>
    <w:p w14:paraId="2E56D874" w14:textId="77777777" w:rsidR="004270DA" w:rsidRPr="004270DA" w:rsidRDefault="00C55FAC" w:rsidP="004270DA">
      <w:pPr>
        <w:pStyle w:val="ListParagraph"/>
        <w:numPr>
          <w:ilvl w:val="0"/>
          <w:numId w:val="5"/>
        </w:numPr>
        <w:tabs>
          <w:tab w:val="left" w:pos="1145"/>
        </w:tabs>
        <w:bidi/>
        <w:spacing w:before="200" w:after="200" w:line="285" w:lineRule="auto"/>
        <w:ind w:left="714" w:hanging="357"/>
        <w:rPr>
          <w:rFonts w:ascii="Acumin Pro" w:hAnsi="Acumin Pro" w:cs="Acumin Pro"/>
        </w:rPr>
      </w:pPr>
      <w:r>
        <w:rPr>
          <w:rFonts w:ascii="Acumin Pro" w:hAnsi="Acumin Pro" w:cs="Acumin Pro"/>
          <w:b/>
          <w:bCs/>
          <w:color w:val="231F20"/>
          <w:spacing w:val="-4"/>
          <w:w w:val="105"/>
          <w:rtl/>
        </w:rPr>
        <w:t>وسایل الکترونیکی مانند تلفون، لپتاپ یا سایر دستگاه ها ممکن است مورد تلاشی قرار گیرند</w:t>
      </w:r>
      <w:r>
        <w:rPr>
          <w:rFonts w:ascii="Acumin Pro" w:hAnsi="Acumin Pro" w:cs="Acumin Pro"/>
          <w:color w:val="231F20"/>
          <w:spacing w:val="-4"/>
          <w:w w:val="105"/>
          <w:rtl/>
        </w:rPr>
        <w:t>، و همچنان ممکن است در این طی پروسه اطلاعات یا مکاتبات شخصی نیز مورد بررسی قرار بگیرند</w:t>
      </w:r>
    </w:p>
    <w:p w14:paraId="229436A3" w14:textId="2DFFFB28" w:rsidR="004270DA" w:rsidRDefault="00C55FAC" w:rsidP="004270DA">
      <w:pPr>
        <w:pStyle w:val="ListParagraph"/>
        <w:numPr>
          <w:ilvl w:val="0"/>
          <w:numId w:val="5"/>
        </w:numPr>
        <w:tabs>
          <w:tab w:val="left" w:pos="1145"/>
        </w:tabs>
        <w:bidi/>
        <w:spacing w:before="200" w:after="200" w:line="285" w:lineRule="auto"/>
        <w:ind w:left="714" w:hanging="357"/>
        <w:rPr>
          <w:rFonts w:ascii="Acumin Pro" w:hAnsi="Acumin Pro" w:cs="Acumin Pro"/>
          <w:color w:val="231F20"/>
          <w:w w:val="110"/>
        </w:rPr>
      </w:pPr>
      <w:r>
        <w:rPr>
          <w:rFonts w:ascii="Acumin Pro" w:hAnsi="Acumin Pro" w:cs="Acumin Pro"/>
          <w:b/>
          <w:bCs/>
          <w:color w:val="231F20"/>
          <w:rtl/>
        </w:rPr>
        <w:t>پس از ورود ممکن است افراد تحت نظارت هدفمند، بازداشت یا حبس قرار گیرند</w:t>
      </w:r>
      <w:r w:rsidRPr="004270DA">
        <w:rPr>
          <w:rFonts w:ascii="Acumin Pro" w:hAnsi="Acumin Pro" w:cs="Acumin Pro"/>
          <w:color w:val="231F20"/>
          <w:rtl/>
        </w:rPr>
        <w:t>،</w:t>
      </w:r>
      <w:r>
        <w:rPr>
          <w:rFonts w:ascii="Acumin Pro" w:hAnsi="Acumin Pro" w:cs="Acumin Pro"/>
          <w:color w:val="231F20"/>
          <w:rtl/>
        </w:rPr>
        <w:t xml:space="preserve"> که میتواند شامل اقدامات رسمی</w:t>
      </w:r>
      <w:r>
        <w:rPr>
          <w:rFonts w:ascii="Acumin Pro" w:hAnsi="Acumin Pro" w:cs="Acumin Pro"/>
          <w:color w:val="231F20"/>
          <w:spacing w:val="-3"/>
          <w:w w:val="110"/>
          <w:rtl/>
        </w:rPr>
        <w:t xml:space="preserve"> قضایی نیز باشد</w:t>
      </w:r>
    </w:p>
    <w:p w14:paraId="5052F636" w14:textId="77777777" w:rsidR="004270DA" w:rsidRDefault="004270DA">
      <w:pPr>
        <w:rPr>
          <w:rFonts w:ascii="Acumin Pro" w:hAnsi="Acumin Pro" w:cs="Acumin Pro"/>
          <w:color w:val="231F20"/>
          <w:w w:val="110"/>
        </w:rPr>
      </w:pPr>
      <w:r>
        <w:rPr>
          <w:rFonts w:ascii="Acumin Pro" w:hAnsi="Acumin Pro" w:cs="Acumin Pro"/>
          <w:color w:val="231F20"/>
          <w:w w:val="110"/>
        </w:rPr>
        <w:br w:type="page"/>
      </w:r>
    </w:p>
    <w:p w14:paraId="229436A4" w14:textId="77777777" w:rsidR="009C2AD2" w:rsidRPr="00144994" w:rsidRDefault="00C55FAC" w:rsidP="008601FE">
      <w:pPr>
        <w:pStyle w:val="ListParagraph"/>
        <w:numPr>
          <w:ilvl w:val="0"/>
          <w:numId w:val="5"/>
        </w:numPr>
        <w:tabs>
          <w:tab w:val="left" w:pos="1145"/>
        </w:tabs>
        <w:bidi/>
        <w:spacing w:before="200" w:after="200"/>
        <w:ind w:left="714" w:hanging="357"/>
        <w:rPr>
          <w:rFonts w:ascii="Acumin Pro" w:hAnsi="Acumin Pro" w:cs="Acumin Pro"/>
        </w:rPr>
      </w:pPr>
      <w:r>
        <w:rPr>
          <w:rFonts w:ascii="Acumin Pro" w:hAnsi="Acumin Pro" w:cs="Acumin Pro"/>
          <w:b/>
          <w:bCs/>
          <w:color w:val="231F20"/>
          <w:spacing w:val="2"/>
          <w:rtl/>
        </w:rPr>
        <w:lastRenderedPageBreak/>
        <w:t>افراد ممکن از سوی</w:t>
      </w:r>
      <w:r>
        <w:rPr>
          <w:rFonts w:ascii="Acumin Pro" w:hAnsi="Acumin Pro" w:cs="Acumin Pro"/>
          <w:b/>
          <w:bCs/>
          <w:color w:val="231F20"/>
          <w:spacing w:val="4"/>
          <w:rtl/>
        </w:rPr>
        <w:t xml:space="preserve"> مقامات</w:t>
      </w:r>
      <w:r>
        <w:rPr>
          <w:rFonts w:ascii="Acumin Pro" w:hAnsi="Acumin Pro" w:cs="Acumin Pro"/>
          <w:color w:val="231F20"/>
          <w:spacing w:val="2"/>
          <w:rtl/>
        </w:rPr>
        <w:t xml:space="preserve"> محلی با ارعاب، آزار یا تهدید</w:t>
      </w:r>
      <w:r>
        <w:rPr>
          <w:rFonts w:ascii="Acumin Pro" w:hAnsi="Acumin Pro" w:cs="Acumin Pro"/>
          <w:color w:val="231F20"/>
          <w:spacing w:val="-2"/>
          <w:rtl/>
        </w:rPr>
        <w:t xml:space="preserve"> مواجه شوند</w:t>
      </w:r>
    </w:p>
    <w:p w14:paraId="169D5769" w14:textId="5ABF7858" w:rsidR="000F1A92" w:rsidRPr="000F1A92" w:rsidRDefault="00C55FAC" w:rsidP="008601FE">
      <w:pPr>
        <w:pStyle w:val="ListParagraph"/>
        <w:numPr>
          <w:ilvl w:val="0"/>
          <w:numId w:val="5"/>
        </w:numPr>
        <w:tabs>
          <w:tab w:val="left" w:pos="1145"/>
        </w:tabs>
        <w:bidi/>
        <w:spacing w:before="200" w:after="200" w:line="285" w:lineRule="auto"/>
        <w:ind w:left="714" w:hanging="357"/>
        <w:rPr>
          <w:rFonts w:ascii="Acumin Pro" w:hAnsi="Acumin Pro" w:cs="Acumin Pro"/>
        </w:rPr>
      </w:pPr>
      <w:r>
        <w:rPr>
          <w:rFonts w:ascii="Acumin Pro" w:hAnsi="Acumin Pro" w:cs="Acumin Pro"/>
          <w:b/>
          <w:bCs/>
          <w:color w:val="231F20"/>
          <w:rtl/>
        </w:rPr>
        <w:t>افراد ممکن است</w:t>
      </w:r>
      <w:r>
        <w:rPr>
          <w:rFonts w:ascii="Acumin Pro" w:hAnsi="Acumin Pro" w:cs="Acumin Pro"/>
          <w:b/>
          <w:bCs/>
          <w:color w:val="231F20"/>
          <w:spacing w:val="4"/>
          <w:rtl/>
        </w:rPr>
        <w:t xml:space="preserve"> نه تنها</w:t>
      </w:r>
      <w:r>
        <w:rPr>
          <w:rFonts w:ascii="Acumin Pro" w:hAnsi="Acumin Pro" w:cs="Acumin Pro"/>
          <w:b/>
          <w:bCs/>
          <w:color w:val="231F20"/>
          <w:rtl/>
        </w:rPr>
        <w:t xml:space="preserve"> از سوی</w:t>
      </w:r>
      <w:r w:rsidRPr="00144994">
        <w:rPr>
          <w:rFonts w:ascii="Acumin Pro" w:hAnsi="Acumin Pro" w:cs="Acumin Pro"/>
          <w:color w:val="231F20"/>
          <w:rtl/>
        </w:rPr>
        <w:t>نهادهای نظامی یا مقامات رسمی،</w:t>
      </w:r>
      <w:r>
        <w:rPr>
          <w:rFonts w:ascii="Acumin Pro" w:hAnsi="Acumin Pro" w:cs="Acumin Pro"/>
          <w:color w:val="231F20"/>
          <w:rtl/>
        </w:rPr>
        <w:t xml:space="preserve"> بلکه توسط گروه های محلی نیز مورد</w:t>
      </w:r>
      <w:r>
        <w:rPr>
          <w:rFonts w:ascii="Acumin Pro" w:hAnsi="Acumin Pro" w:cs="Acumin Pro"/>
          <w:color w:val="231F20"/>
          <w:spacing w:val="-5"/>
          <w:w w:val="108"/>
          <w:rtl/>
        </w:rPr>
        <w:t xml:space="preserve"> پرس و جو، آزار یا تهدید قرار گیرند.</w:t>
      </w:r>
    </w:p>
    <w:p w14:paraId="2D2F1A0F" w14:textId="77777777" w:rsidR="000F1A92" w:rsidRPr="00AE43B7" w:rsidRDefault="000F1A92" w:rsidP="00E956A8">
      <w:pPr>
        <w:pStyle w:val="Heading2"/>
        <w:bidi/>
        <w:spacing w:before="360"/>
        <w:ind w:left="0"/>
        <w:rPr>
          <w:rFonts w:ascii="Acumin Pro" w:hAnsi="Acumin Pro" w:cs="Acumin Pro"/>
        </w:rPr>
      </w:pPr>
      <w:r>
        <w:rPr>
          <w:rFonts w:ascii="Acumin Pro" w:hAnsi="Acumin Pro" w:cs="Acumin Pro"/>
          <w:color w:val="391335"/>
          <w:rtl/>
        </w:rPr>
        <w:t>کمک قنسولی نیوزیلند</w:t>
      </w:r>
    </w:p>
    <w:p w14:paraId="03076CCC" w14:textId="77777777" w:rsidR="000F1A92" w:rsidRPr="00144994" w:rsidRDefault="000F1A92" w:rsidP="000364AB">
      <w:pPr>
        <w:pStyle w:val="BodyText"/>
        <w:bidi/>
        <w:spacing w:before="200" w:after="200" w:line="249" w:lineRule="auto"/>
        <w:rPr>
          <w:rFonts w:ascii="Acumin Pro" w:hAnsi="Acumin Pro" w:cs="Acumin Pro"/>
        </w:rPr>
      </w:pPr>
      <w:r>
        <w:rPr>
          <w:rFonts w:ascii="Acumin Pro" w:hAnsi="Acumin Pro" w:cs="Acumin Pro"/>
          <w:color w:val="231F20"/>
          <w:spacing w:val="-3"/>
          <w:w w:val="104"/>
          <w:rtl/>
        </w:rPr>
        <w:t>وزارت امور خارجه و تجارت برای شهروندان نیوزیلند در خارج از کشور حتی اگر معمولاً در نیوزیلند زندگی نکنند، خدمات قنسولی ارائه میدهد.</w:t>
      </w:r>
    </w:p>
    <w:p w14:paraId="54DA327A" w14:textId="77777777" w:rsidR="000F1A92" w:rsidRPr="00144994" w:rsidRDefault="000F1A92" w:rsidP="000364AB">
      <w:pPr>
        <w:pStyle w:val="BodyText"/>
        <w:bidi/>
        <w:spacing w:before="200" w:after="200"/>
        <w:rPr>
          <w:rFonts w:ascii="Acumin Pro" w:hAnsi="Acumin Pro" w:cs="Acumin Pro"/>
        </w:rPr>
      </w:pPr>
      <w:r>
        <w:rPr>
          <w:rFonts w:ascii="Acumin Pro" w:hAnsi="Acumin Pro" w:cs="Acumin Pro"/>
          <w:color w:val="231F20"/>
          <w:spacing w:val="3"/>
          <w:rtl/>
        </w:rPr>
        <w:t>خدمات قنسولی معمولاً به دارندگان اقامت دائم نیوزیلند ارائه نمیگردد.</w:t>
      </w:r>
    </w:p>
    <w:p w14:paraId="1A83DD3B" w14:textId="34BC5703" w:rsidR="000F1A92" w:rsidRPr="00144994" w:rsidRDefault="000F1A92" w:rsidP="000364AB">
      <w:pPr>
        <w:pStyle w:val="BodyText"/>
        <w:bidi/>
        <w:spacing w:before="200" w:after="200" w:line="249" w:lineRule="auto"/>
        <w:rPr>
          <w:rFonts w:ascii="Acumin Pro" w:hAnsi="Acumin Pro" w:cs="Acumin Pro"/>
        </w:rPr>
      </w:pPr>
      <w:r>
        <w:rPr>
          <w:rFonts w:ascii="Acumin Pro" w:hAnsi="Acumin Pro" w:cs="Acumin Pro"/>
          <w:color w:val="231F20"/>
          <w:spacing w:val="-3"/>
          <w:w w:val="104"/>
          <w:rtl/>
        </w:rPr>
        <w:t>اتباع نیوزیلند در خارج از کشور ملزم به رعایت قوانین کشور میزبان از جمله مقررات مربوط به بازداشت، پیگرد قضایی یا محدودیت های رفت و آمد هستند.</w:t>
      </w:r>
    </w:p>
    <w:p w14:paraId="34B471DC" w14:textId="77777777" w:rsidR="000F1A92" w:rsidRPr="00144994" w:rsidRDefault="000F1A92" w:rsidP="00E956A8">
      <w:pPr>
        <w:pStyle w:val="BodyText"/>
        <w:bidi/>
        <w:spacing w:before="360"/>
        <w:rPr>
          <w:rFonts w:ascii="Acumin Pro" w:hAnsi="Acumin Pro" w:cs="Acumin Pro"/>
          <w:b/>
          <w:bCs/>
        </w:rPr>
      </w:pPr>
      <w:r>
        <w:rPr>
          <w:rFonts w:ascii="Acumin Pro" w:hAnsi="Acumin Pro" w:cs="Acumin Pro"/>
          <w:b/>
          <w:bCs/>
          <w:color w:val="231F20"/>
          <w:spacing w:val="-2"/>
          <w:w w:val="107"/>
          <w:rtl/>
        </w:rPr>
        <w:t>افراد دارای تابعیت دوگانه</w:t>
      </w:r>
    </w:p>
    <w:p w14:paraId="25F65E43" w14:textId="77777777" w:rsidR="002D6D45" w:rsidRDefault="000F1A92" w:rsidP="000364AB">
      <w:pPr>
        <w:pStyle w:val="BodyText"/>
        <w:bidi/>
        <w:spacing w:before="200" w:after="200" w:line="249" w:lineRule="auto"/>
        <w:rPr>
          <w:rFonts w:ascii="Acumin Pro" w:hAnsi="Acumin Pro" w:cs="Acumin Pro"/>
          <w:color w:val="231F20"/>
          <w:w w:val="105"/>
        </w:rPr>
      </w:pPr>
      <w:r>
        <w:rPr>
          <w:rFonts w:ascii="Acumin Pro" w:hAnsi="Acumin Pro" w:cs="Acumin Pro"/>
          <w:color w:val="231F20"/>
          <w:spacing w:val="-5"/>
          <w:w w:val="104"/>
          <w:rtl/>
        </w:rPr>
        <w:t>داشتن تابعیت دوگانه ممکن است بر توانایی نیوزیلند در ارائه خدمات قنسولی تأثیر بگذارد. هنگامی که یک فرد در کشورِ تابعیت ثانویه خود حضور دارد، ممکن است مقامات محلی او را تنها به عنوان شهروند همان کشور تلقی کرده و از دخالت نیوزیلند جلوگیری نمایند.</w:t>
      </w:r>
    </w:p>
    <w:p w14:paraId="2CFAB287" w14:textId="358791DA" w:rsidR="000F1A92" w:rsidRPr="00E17A5B" w:rsidRDefault="000F1A92" w:rsidP="00E17A5B">
      <w:pPr>
        <w:pStyle w:val="BodyText"/>
        <w:bidi/>
        <w:spacing w:before="200" w:after="200" w:line="249" w:lineRule="auto"/>
        <w:rPr>
          <w:rFonts w:ascii="Acumin Pro" w:hAnsi="Acumin Pro" w:cs="Acumin Pro"/>
          <w:color w:val="231F20"/>
        </w:rPr>
      </w:pPr>
      <w:r>
        <w:rPr>
          <w:rFonts w:ascii="Acumin Pro" w:hAnsi="Acumin Pro" w:cs="Acumin Pro"/>
          <w:color w:val="231F20"/>
          <w:rtl/>
        </w:rPr>
        <w:t>اطلاعات بیشتر را میتوانید در وبسایت SafeTravel بخش شهروندان دارای تابعیت دوگانه و دارندگان اقامت دائم بیابید:</w:t>
      </w:r>
      <w:hyperlink r:id="rId7" w:history="1">
        <w:r>
          <w:rPr>
            <w:rStyle w:val="Hyperlink"/>
            <w:rFonts w:ascii="Acumin Pro" w:hAnsi="Acumin Pro" w:cs="Acumin Pro"/>
          </w:rPr>
          <w:t>Dual citizens and permanent residents</w:t>
        </w:r>
      </w:hyperlink>
    </w:p>
    <w:p w14:paraId="0F0C8816" w14:textId="77777777" w:rsidR="000F1A92" w:rsidRPr="00144994" w:rsidRDefault="000F1A92" w:rsidP="00E956A8">
      <w:pPr>
        <w:pStyle w:val="BodyText"/>
        <w:bidi/>
        <w:spacing w:before="360"/>
        <w:rPr>
          <w:rFonts w:ascii="Acumin Pro" w:hAnsi="Acumin Pro" w:cs="Acumin Pro"/>
          <w:b/>
          <w:bCs/>
        </w:rPr>
      </w:pPr>
      <w:r>
        <w:rPr>
          <w:rFonts w:ascii="Acumin Pro" w:hAnsi="Acumin Pro" w:cs="Acumin Pro"/>
          <w:b/>
          <w:bCs/>
          <w:rtl/>
        </w:rPr>
        <w:t>پناهندگان و پناهندگان سابق</w:t>
      </w:r>
    </w:p>
    <w:p w14:paraId="6ECD5ED9" w14:textId="77777777" w:rsidR="000F1A92" w:rsidRPr="00144994" w:rsidRDefault="000F1A92" w:rsidP="000364AB">
      <w:pPr>
        <w:pStyle w:val="BodyText"/>
        <w:bidi/>
        <w:spacing w:before="200" w:after="200" w:line="249" w:lineRule="auto"/>
        <w:rPr>
          <w:rFonts w:ascii="Acumin Pro" w:hAnsi="Acumin Pro" w:cs="Acumin Pro"/>
          <w:color w:val="231F20"/>
        </w:rPr>
      </w:pPr>
      <w:r>
        <w:rPr>
          <w:rFonts w:ascii="Acumin Pro" w:hAnsi="Acumin Pro" w:cs="Acumin Pro"/>
          <w:color w:val="231F20"/>
          <w:rtl/>
        </w:rPr>
        <w:t>اگر شما به عنوان پناهنده در خارج از نیوزیلند حضور دارید، میزان حمایتی که دولت نیوزیلند میتواند به شما ارائه دهد به طور قابل توجهی محدود خواهد بود.</w:t>
      </w:r>
    </w:p>
    <w:p w14:paraId="65A8D97F" w14:textId="54EA1542" w:rsidR="000F1A92" w:rsidRPr="00E17A5B" w:rsidRDefault="000F1A92" w:rsidP="00E17A5B">
      <w:pPr>
        <w:pStyle w:val="BodyText"/>
        <w:bidi/>
        <w:spacing w:before="200" w:after="200" w:line="249" w:lineRule="auto"/>
        <w:rPr>
          <w:rFonts w:ascii="Acumin Pro" w:hAnsi="Acumin Pro" w:cs="Acumin Pro"/>
          <w:color w:val="231F20"/>
        </w:rPr>
      </w:pPr>
      <w:r>
        <w:rPr>
          <w:rFonts w:ascii="Acumin Pro" w:hAnsi="Acumin Pro" w:cs="Acumin Pro"/>
          <w:color w:val="231F20"/>
          <w:rtl/>
        </w:rPr>
        <w:t>اطلاعات بیشتر را میتوانید در وبسایت SafeTravel بخش پناهندگان و پناهندگان سابق بیابید:</w:t>
      </w:r>
      <w:hyperlink r:id="rId8" w:history="1">
        <w:r>
          <w:rPr>
            <w:rStyle w:val="Hyperlink"/>
            <w:rFonts w:ascii="Acumin Pro" w:hAnsi="Acumin Pro" w:cs="Acumin Pro"/>
            <w:spacing w:val="-2"/>
          </w:rPr>
          <w:t>Refugees and former refugees</w:t>
        </w:r>
      </w:hyperlink>
    </w:p>
    <w:p w14:paraId="19ACBA46" w14:textId="77777777" w:rsidR="000F1A92" w:rsidRPr="00AE43B7" w:rsidRDefault="000F1A92" w:rsidP="000364AB">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cs="Acumin Pro"/>
        </w:rPr>
      </w:pPr>
      <w:r>
        <w:rPr>
          <w:rFonts w:ascii="Acumin Pro" w:hAnsi="Acumin Pro" w:cs="Acumin Pro"/>
          <w:color w:val="391335"/>
          <w:spacing w:val="-4"/>
        </w:rPr>
        <w:t>SafeTravel NZ</w:t>
      </w:r>
    </w:p>
    <w:p w14:paraId="1272E0CE" w14:textId="27B2000F" w:rsidR="000F1A92" w:rsidRPr="00144994" w:rsidRDefault="000F1A92" w:rsidP="000364AB">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line="249" w:lineRule="auto"/>
        <w:rPr>
          <w:rFonts w:ascii="Acumin Pro" w:hAnsi="Acumin Pro" w:cs="Acumin Pro"/>
        </w:rPr>
      </w:pPr>
      <w:hyperlink r:id="rId9" w:history="1">
        <w:r>
          <w:rPr>
            <w:rStyle w:val="Hyperlink"/>
            <w:rFonts w:ascii="Acumin Pro" w:hAnsi="Acumin Pro" w:cs="Acumin Pro"/>
          </w:rPr>
          <w:t>SafeTravel NZ</w:t>
        </w:r>
      </w:hyperlink>
      <w:r>
        <w:rPr>
          <w:rFonts w:ascii="Acumin Pro" w:hAnsi="Acumin Pro" w:cs="Acumin Pro"/>
          <w:color w:val="231F20"/>
          <w:spacing w:val="-4"/>
          <w:w w:val="103"/>
          <w:rtl/>
        </w:rPr>
        <w:t xml:space="preserve"> یک وبسایت رسمی وزارت امور خارجه و تجارت برای آنعده از اتباع نیوزیلند است که به خارج از کشور سفر میکنند یا اقامت دارند، و برای شان مشوره های مسافرتی، خدمات قنسولی، توصیه های ایمنی و سیستم ثبت نام مسافران را ارائه میدهد.</w:t>
      </w:r>
    </w:p>
    <w:p w14:paraId="745E1D48" w14:textId="0794DC32" w:rsidR="00A22050" w:rsidRPr="00A22050" w:rsidRDefault="00651741" w:rsidP="000364AB">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line="249" w:lineRule="auto"/>
      </w:pPr>
      <w:r>
        <w:rPr>
          <w:rFonts w:ascii="Acumin Pro" w:hAnsi="Acumin Pro" w:cs="Acumin Pro"/>
          <w:color w:val="231F20"/>
          <w:spacing w:val="-4"/>
          <w:w w:val="105"/>
          <w:rtl/>
        </w:rPr>
        <w:t xml:space="preserve">مسافران باید قبل از رفتن به خارج از کشور در وبسایت </w:t>
      </w:r>
      <w:r>
        <w:rPr>
          <w:rFonts w:ascii="Acumin Pro" w:hAnsi="Acumin Pro" w:cs="Acumin Pro"/>
          <w:b/>
          <w:bCs/>
          <w:color w:val="231F20"/>
          <w:spacing w:val="-2"/>
          <w:w w:val="105"/>
          <w:rtl/>
        </w:rPr>
        <w:t>SafeTravel New Zealand</w:t>
      </w:r>
      <w:r w:rsidR="000F1A92" w:rsidRPr="00144994">
        <w:rPr>
          <w:rFonts w:ascii="Acumin Pro" w:hAnsi="Acumin Pro" w:cs="Acumin Pro"/>
          <w:b/>
          <w:bCs/>
          <w:color w:val="231F20"/>
          <w:spacing w:val="-2"/>
          <w:w w:val="105"/>
          <w:rtl/>
        </w:rPr>
        <w:t xml:space="preserve"> </w:t>
      </w:r>
      <w:r w:rsidR="000F1A92" w:rsidRPr="00144994">
        <w:rPr>
          <w:rFonts w:ascii="Acumin Pro" w:hAnsi="Acumin Pro" w:cs="Acumin Pro"/>
          <w:color w:val="231F20"/>
          <w:spacing w:val="-7"/>
          <w:w w:val="105"/>
          <w:rtl/>
        </w:rPr>
        <w:t xml:space="preserve"> </w:t>
      </w:r>
      <w:hyperlink r:id="rId10" w:history="1">
        <w:r>
          <w:rPr>
            <w:rStyle w:val="Hyperlink"/>
            <w:rFonts w:ascii="Acumin Pro" w:hAnsi="Acumin Pro" w:cs="Acumin Pro"/>
            <w:spacing w:val="-5"/>
            <w:w w:val="105"/>
            <w:rtl/>
          </w:rPr>
          <w:t>ثبت نام</w:t>
        </w:r>
      </w:hyperlink>
      <w:r>
        <w:rPr>
          <w:rFonts w:ascii="Acumin Pro" w:hAnsi="Acumin Pro" w:cs="Acumin Pro"/>
          <w:color w:val="231F20"/>
          <w:spacing w:val="-5"/>
          <w:w w:val="105"/>
          <w:rtl/>
        </w:rPr>
        <w:t xml:space="preserve"> کنند. این کار به وزارت امور خارجه و تجارت کمک میکند تا به موقع اطلاع رسانی کند، در صورت نیاز با مسافران تماس بگیرد و در حد امکان کمک فراهم سازد.</w:t>
      </w:r>
    </w:p>
    <w:sectPr w:rsidR="00A22050" w:rsidRPr="00A22050" w:rsidSect="00203BB3">
      <w:headerReference w:type="default" r:id="rId11"/>
      <w:footerReference w:type="default" r:id="rId12"/>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A581E" w14:textId="77777777" w:rsidR="007A7D1F" w:rsidRDefault="007A7D1F">
      <w:r>
        <w:separator/>
      </w:r>
    </w:p>
  </w:endnote>
  <w:endnote w:type="continuationSeparator" w:id="0">
    <w:p w14:paraId="2ACA6331" w14:textId="77777777" w:rsidR="007A7D1F" w:rsidRDefault="007A7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0A0B" w14:textId="33E89D94" w:rsidR="008F361B" w:rsidRPr="00216311" w:rsidRDefault="00EA4802" w:rsidP="008F361B">
    <w:pPr>
      <w:bidi/>
      <w:spacing w:before="22"/>
      <w:rPr>
        <w:rFonts w:ascii="Acumin Pro" w:hAnsi="Acumin Pro" w:cs="Acumin Pro"/>
        <w:b/>
        <w:sz w:val="20"/>
        <w:szCs w:val="20"/>
      </w:rPr>
    </w:pPr>
    <w:r>
      <w:rPr>
        <w:rFonts w:ascii="Acumin Pro" w:hAnsi="Acumin Pro" w:cs="Acumin Pro"/>
        <w:b/>
        <w:bCs/>
        <w:color w:val="391335"/>
        <w:sz w:val="20"/>
        <w:szCs w:val="20"/>
        <w:rtl/>
      </w:rPr>
      <w:t xml:space="preserve"> </w:t>
    </w:r>
    <w:r>
      <w:rPr>
        <w:rFonts w:ascii="Acumin Pro" w:hAnsi="Acumin Pro" w:cs="Acumin Pro"/>
        <w:b/>
        <w:bCs/>
        <w:color w:val="391335"/>
        <w:sz w:val="20"/>
        <w:szCs w:val="20"/>
        <w:rtl/>
      </w:rPr>
      <w:t xml:space="preserve">سفر به خارج از کشور و مداخلات خارجی </w:t>
    </w:r>
    <w:r w:rsidR="008F361B">
      <w:rPr>
        <w:rFonts w:ascii="Acumin Pro" w:hAnsi="Acumin Pro" w:cs="Acumin Pro"/>
        <w:b/>
        <w:bCs/>
        <w:color w:val="391335"/>
        <w:sz w:val="20"/>
        <w:szCs w:val="20"/>
        <w:rtl/>
      </w:rPr>
      <w:tab/>
    </w:r>
    <w:r w:rsidR="008F361B">
      <w:rPr>
        <w:rFonts w:ascii="Acumin Pro" w:hAnsi="Acumin Pro" w:cs="Acumin Pro"/>
        <w:b/>
        <w:bCs/>
        <w:color w:val="391335"/>
        <w:sz w:val="20"/>
        <w:szCs w:val="20"/>
        <w:rtl/>
      </w:rPr>
      <w:tab/>
    </w:r>
    <w:r w:rsidR="008F361B">
      <w:rPr>
        <w:rFonts w:ascii="Acumin Pro" w:hAnsi="Acumin Pro" w:cs="Acumin Pro"/>
        <w:b/>
        <w:bCs/>
        <w:color w:val="391335"/>
        <w:sz w:val="20"/>
        <w:szCs w:val="20"/>
        <w:rtl/>
      </w:rPr>
      <w:tab/>
    </w:r>
    <w:r w:rsidR="008F361B">
      <w:rPr>
        <w:rFonts w:ascii="Acumin Pro" w:hAnsi="Acumin Pro" w:cs="Acumin Pro"/>
        <w:b/>
        <w:bCs/>
        <w:color w:val="391335"/>
        <w:sz w:val="20"/>
        <w:szCs w:val="20"/>
        <w:rtl/>
      </w:rPr>
      <w:tab/>
    </w:r>
    <w:r w:rsidR="008F361B">
      <w:rPr>
        <w:rFonts w:ascii="Acumin Pro" w:hAnsi="Acumin Pro" w:cs="Acumin Pro"/>
        <w:b/>
        <w:bCs/>
        <w:color w:val="391335"/>
        <w:sz w:val="20"/>
        <w:szCs w:val="20"/>
        <w:rtl/>
      </w:rPr>
      <w:tab/>
    </w:r>
    <w:r w:rsidR="008F361B">
      <w:rPr>
        <w:rFonts w:ascii="Acumin Pro" w:hAnsi="Acumin Pro" w:cs="Acumin Pro"/>
        <w:b/>
        <w:bCs/>
        <w:color w:val="391335"/>
        <w:sz w:val="20"/>
        <w:szCs w:val="20"/>
        <w:rtl/>
      </w:rPr>
      <w:tab/>
    </w:r>
    <w:r w:rsidR="008A4888">
      <w:rPr>
        <w:rFonts w:ascii="Acumin Pro" w:hAnsi="Acumin Pro" w:cs="Acumin Pro"/>
        <w:b/>
        <w:bCs/>
        <w:color w:val="391335"/>
        <w:sz w:val="20"/>
        <w:szCs w:val="20"/>
      </w:rPr>
      <w:tab/>
    </w:r>
    <w:r w:rsidR="008A4888">
      <w:rPr>
        <w:rFonts w:ascii="Acumin Pro" w:hAnsi="Acumin Pro" w:cs="Acumin Pro"/>
        <w:b/>
        <w:bCs/>
        <w:color w:val="391335"/>
        <w:sz w:val="20"/>
        <w:szCs w:val="20"/>
      </w:rPr>
      <w:tab/>
    </w:r>
    <w:r w:rsidR="008F361B" w:rsidRPr="00216311">
      <w:rPr>
        <w:rFonts w:ascii="Acumin Pro" w:hAnsi="Acumin Pro" w:cs="Acumin Pro"/>
        <w:b/>
        <w:bCs/>
        <w:color w:val="391335"/>
        <w:spacing w:val="-2"/>
        <w:sz w:val="20"/>
        <w:szCs w:val="20"/>
        <w:rtl/>
      </w:rPr>
      <w:tab/>
    </w:r>
    <w:sdt>
      <w:sdtPr>
        <w:rPr>
          <w:rFonts w:ascii="Acumin Pro" w:hAnsi="Acumin Pro" w:cs="Acumin Pro"/>
          <w:sz w:val="20"/>
          <w:szCs w:val="20"/>
          <w:rtl/>
        </w:rPr>
        <w:id w:val="-1110124414"/>
        <w:docPartObj>
          <w:docPartGallery w:val="Page Numbers (Bottom of Page)"/>
          <w:docPartUnique/>
        </w:docPartObj>
      </w:sdtPr>
      <w:sdtContent>
        <w:r w:rsidR="008F361B" w:rsidRPr="00216311">
          <w:rPr>
            <w:rFonts w:ascii="Acumin Pro" w:hAnsi="Acumin Pro" w:cs="Acumin Pro"/>
            <w:sz w:val="20"/>
            <w:szCs w:val="20"/>
          </w:rPr>
          <w:fldChar w:fldCharType="begin"/>
        </w:r>
        <w:r w:rsidR="008F361B" w:rsidRPr="00216311">
          <w:rPr>
            <w:rFonts w:ascii="Acumin Pro" w:hAnsi="Acumin Pro" w:cs="Acumin Pro"/>
            <w:sz w:val="20"/>
            <w:szCs w:val="20"/>
          </w:rPr>
          <w:instrText xml:space="preserve"> PAGE   \* MERGEFORMAT </w:instrText>
        </w:r>
        <w:r w:rsidR="008F361B" w:rsidRPr="00216311">
          <w:rPr>
            <w:rFonts w:ascii="Acumin Pro" w:hAnsi="Acumin Pro" w:cs="Acumin Pro"/>
            <w:sz w:val="20"/>
            <w:szCs w:val="20"/>
          </w:rPr>
          <w:fldChar w:fldCharType="separate"/>
        </w:r>
        <w:r>
          <w:rPr>
            <w:rFonts w:ascii="Acumin Pro" w:hAnsi="Acumin Pro" w:cs="Acumin Pro"/>
            <w:sz w:val="20"/>
          </w:rPr>
          <w:t>۳</w:t>
        </w:r>
        <w:r w:rsidR="008F361B" w:rsidRPr="00216311">
          <w:rPr>
            <w:rFonts w:ascii="Acumin Pro" w:hAnsi="Acumin Pro" w:cs="Acumin Pro"/>
            <w:sz w:val="20"/>
            <w:szCs w:val="20"/>
          </w:rPr>
          <w:fldChar w:fldCharType="end"/>
        </w:r>
      </w:sdtContent>
    </w:sdt>
  </w:p>
  <w:p w14:paraId="59252AE6" w14:textId="77777777" w:rsidR="008F361B" w:rsidRPr="00B21C58" w:rsidRDefault="008F361B" w:rsidP="008F361B">
    <w:pPr>
      <w:pStyle w:val="BodyText"/>
      <w:spacing w:line="14" w:lineRule="auto"/>
      <w:rPr>
        <w:sz w:val="20"/>
      </w:rPr>
    </w:pPr>
  </w:p>
  <w:p w14:paraId="01EBB0C5" w14:textId="77777777" w:rsidR="008F361B" w:rsidRPr="00FE2C56" w:rsidRDefault="008F361B" w:rsidP="008F361B">
    <w:pPr>
      <w:pStyle w:val="BodyText"/>
      <w:spacing w:line="14" w:lineRule="auto"/>
      <w:rPr>
        <w:sz w:val="20"/>
      </w:rPr>
    </w:pPr>
  </w:p>
  <w:p w14:paraId="229436BC" w14:textId="49E928AB" w:rsidR="009C2AD2" w:rsidRDefault="009C2AD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F6CE7" w14:textId="77777777" w:rsidR="007A7D1F" w:rsidRDefault="007A7D1F">
      <w:r>
        <w:separator/>
      </w:r>
    </w:p>
  </w:footnote>
  <w:footnote w:type="continuationSeparator" w:id="0">
    <w:p w14:paraId="5CB3E4F0" w14:textId="77777777" w:rsidR="007A7D1F" w:rsidRDefault="007A7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072B" w14:textId="77777777" w:rsidR="00203879" w:rsidRPr="004C4A78" w:rsidRDefault="00203879" w:rsidP="00203879">
    <w:pPr>
      <w:pStyle w:val="Header"/>
    </w:pPr>
    <w:r>
      <w:rPr>
        <w:noProof/>
      </w:rPr>
      <w:drawing>
        <wp:anchor distT="0" distB="0" distL="114300" distR="114300" simplePos="0" relativeHeight="251658240" behindDoc="0" locked="0" layoutInCell="1" allowOverlap="1" wp14:anchorId="0A730FDE" wp14:editId="7B347037">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25C1F381" wp14:editId="1CA769B7">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3D21E" w14:textId="77777777" w:rsidR="00203879" w:rsidRDefault="00203879" w:rsidP="00203879">
    <w:pPr>
      <w:pStyle w:val="BodyText"/>
      <w:spacing w:line="14" w:lineRule="auto"/>
      <w:rPr>
        <w:sz w:val="20"/>
      </w:rPr>
    </w:pPr>
  </w:p>
  <w:p w14:paraId="73908609" w14:textId="77777777" w:rsidR="00203879" w:rsidRPr="006B40DA" w:rsidRDefault="00203879" w:rsidP="00203879">
    <w:pPr>
      <w:pStyle w:val="Header"/>
    </w:pPr>
  </w:p>
  <w:p w14:paraId="229436BB" w14:textId="791BE5B4" w:rsidR="009C2AD2" w:rsidRPr="00203879" w:rsidRDefault="009C2AD2" w:rsidP="002038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226"/>
    <w:multiLevelType w:val="hybridMultilevel"/>
    <w:tmpl w:val="E07EDD04"/>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E0E447D"/>
    <w:multiLevelType w:val="hybridMultilevel"/>
    <w:tmpl w:val="5CEE7CA4"/>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2AFD57EB"/>
    <w:multiLevelType w:val="hybridMultilevel"/>
    <w:tmpl w:val="531CB49C"/>
    <w:lvl w:ilvl="0" w:tplc="4B6615CE">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prs-AF"/>
      </w:rPr>
    </w:lvl>
    <w:lvl w:ilvl="1" w:tplc="D2467CCA">
      <w:numFmt w:val="bullet"/>
      <w:lvlText w:val="•"/>
      <w:lvlJc w:val="left"/>
      <w:pPr>
        <w:ind w:left="2018" w:hanging="360"/>
      </w:pPr>
      <w:rPr>
        <w:rFonts w:hint="default"/>
        <w:lang w:val="en-US" w:eastAsia="en-US" w:bidi="prs-AF"/>
      </w:rPr>
    </w:lvl>
    <w:lvl w:ilvl="2" w:tplc="EC5E537C">
      <w:numFmt w:val="bullet"/>
      <w:lvlText w:val="•"/>
      <w:lvlJc w:val="left"/>
      <w:pPr>
        <w:ind w:left="2896" w:hanging="360"/>
      </w:pPr>
      <w:rPr>
        <w:rFonts w:hint="default"/>
        <w:lang w:val="en-US" w:eastAsia="en-US" w:bidi="prs-AF"/>
      </w:rPr>
    </w:lvl>
    <w:lvl w:ilvl="3" w:tplc="2378FF3E">
      <w:numFmt w:val="bullet"/>
      <w:lvlText w:val="•"/>
      <w:lvlJc w:val="left"/>
      <w:pPr>
        <w:ind w:left="3774" w:hanging="360"/>
      </w:pPr>
      <w:rPr>
        <w:rFonts w:hint="default"/>
        <w:lang w:val="en-US" w:eastAsia="en-US" w:bidi="prs-AF"/>
      </w:rPr>
    </w:lvl>
    <w:lvl w:ilvl="4" w:tplc="B52A7B3C">
      <w:numFmt w:val="bullet"/>
      <w:lvlText w:val="•"/>
      <w:lvlJc w:val="left"/>
      <w:pPr>
        <w:ind w:left="4653" w:hanging="360"/>
      </w:pPr>
      <w:rPr>
        <w:rFonts w:hint="default"/>
        <w:lang w:val="en-US" w:eastAsia="en-US" w:bidi="prs-AF"/>
      </w:rPr>
    </w:lvl>
    <w:lvl w:ilvl="5" w:tplc="0A8E574A">
      <w:numFmt w:val="bullet"/>
      <w:lvlText w:val="•"/>
      <w:lvlJc w:val="left"/>
      <w:pPr>
        <w:ind w:left="5531" w:hanging="360"/>
      </w:pPr>
      <w:rPr>
        <w:rFonts w:hint="default"/>
        <w:lang w:val="en-US" w:eastAsia="en-US" w:bidi="prs-AF"/>
      </w:rPr>
    </w:lvl>
    <w:lvl w:ilvl="6" w:tplc="3B34AFD2">
      <w:numFmt w:val="bullet"/>
      <w:lvlText w:val="•"/>
      <w:lvlJc w:val="left"/>
      <w:pPr>
        <w:ind w:left="6409" w:hanging="360"/>
      </w:pPr>
      <w:rPr>
        <w:rFonts w:hint="default"/>
        <w:lang w:val="en-US" w:eastAsia="en-US" w:bidi="prs-AF"/>
      </w:rPr>
    </w:lvl>
    <w:lvl w:ilvl="7" w:tplc="B4721A5E">
      <w:numFmt w:val="bullet"/>
      <w:lvlText w:val="•"/>
      <w:lvlJc w:val="left"/>
      <w:pPr>
        <w:ind w:left="7287" w:hanging="360"/>
      </w:pPr>
      <w:rPr>
        <w:rFonts w:hint="default"/>
        <w:lang w:val="en-US" w:eastAsia="en-US" w:bidi="prs-AF"/>
      </w:rPr>
    </w:lvl>
    <w:lvl w:ilvl="8" w:tplc="FF8AE3C2">
      <w:numFmt w:val="bullet"/>
      <w:lvlText w:val="•"/>
      <w:lvlJc w:val="left"/>
      <w:pPr>
        <w:ind w:left="8166" w:hanging="360"/>
      </w:pPr>
      <w:rPr>
        <w:rFonts w:hint="default"/>
        <w:lang w:val="en-US" w:eastAsia="en-US" w:bidi="prs-AF"/>
      </w:rPr>
    </w:lvl>
  </w:abstractNum>
  <w:abstractNum w:abstractNumId="3" w15:restartNumberingAfterBreak="0">
    <w:nsid w:val="2ED8509F"/>
    <w:multiLevelType w:val="hybridMultilevel"/>
    <w:tmpl w:val="440E1BA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53AD6485"/>
    <w:multiLevelType w:val="hybridMultilevel"/>
    <w:tmpl w:val="34F4F782"/>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num w:numId="1" w16cid:durableId="2005665764">
    <w:abstractNumId w:val="2"/>
  </w:num>
  <w:num w:numId="2" w16cid:durableId="1488476550">
    <w:abstractNumId w:val="3"/>
  </w:num>
  <w:num w:numId="3" w16cid:durableId="1893736190">
    <w:abstractNumId w:val="1"/>
  </w:num>
  <w:num w:numId="4" w16cid:durableId="1193568708">
    <w:abstractNumId w:val="4"/>
  </w:num>
  <w:num w:numId="5" w16cid:durableId="209258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6"/>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AD2"/>
    <w:rsid w:val="00001A59"/>
    <w:rsid w:val="00001F63"/>
    <w:rsid w:val="00010EEC"/>
    <w:rsid w:val="000364AB"/>
    <w:rsid w:val="0004060A"/>
    <w:rsid w:val="000478ED"/>
    <w:rsid w:val="00047B29"/>
    <w:rsid w:val="00050822"/>
    <w:rsid w:val="000630D6"/>
    <w:rsid w:val="00066891"/>
    <w:rsid w:val="0008019C"/>
    <w:rsid w:val="00081C60"/>
    <w:rsid w:val="000B2ABB"/>
    <w:rsid w:val="000B769F"/>
    <w:rsid w:val="000D27EC"/>
    <w:rsid w:val="000D2FEE"/>
    <w:rsid w:val="000D7DC8"/>
    <w:rsid w:val="000E7534"/>
    <w:rsid w:val="000F1A92"/>
    <w:rsid w:val="000F75AD"/>
    <w:rsid w:val="001039C9"/>
    <w:rsid w:val="001073A0"/>
    <w:rsid w:val="0011308E"/>
    <w:rsid w:val="00113B06"/>
    <w:rsid w:val="00130C4F"/>
    <w:rsid w:val="00132354"/>
    <w:rsid w:val="00144994"/>
    <w:rsid w:val="001502F2"/>
    <w:rsid w:val="001517E9"/>
    <w:rsid w:val="001547E0"/>
    <w:rsid w:val="0016622B"/>
    <w:rsid w:val="00170141"/>
    <w:rsid w:val="00182187"/>
    <w:rsid w:val="0019254C"/>
    <w:rsid w:val="00193978"/>
    <w:rsid w:val="001957D9"/>
    <w:rsid w:val="001973AA"/>
    <w:rsid w:val="001A0E92"/>
    <w:rsid w:val="001C48DE"/>
    <w:rsid w:val="00203879"/>
    <w:rsid w:val="00203BB3"/>
    <w:rsid w:val="002118AB"/>
    <w:rsid w:val="00237378"/>
    <w:rsid w:val="00243315"/>
    <w:rsid w:val="00262582"/>
    <w:rsid w:val="0026270D"/>
    <w:rsid w:val="00262DF9"/>
    <w:rsid w:val="002810EB"/>
    <w:rsid w:val="002C1F17"/>
    <w:rsid w:val="002D6102"/>
    <w:rsid w:val="002D6D45"/>
    <w:rsid w:val="002E3E01"/>
    <w:rsid w:val="002F4C26"/>
    <w:rsid w:val="00300240"/>
    <w:rsid w:val="00301162"/>
    <w:rsid w:val="00301EDE"/>
    <w:rsid w:val="003024D8"/>
    <w:rsid w:val="003054D4"/>
    <w:rsid w:val="003105E6"/>
    <w:rsid w:val="00350DCC"/>
    <w:rsid w:val="003549A1"/>
    <w:rsid w:val="0037169A"/>
    <w:rsid w:val="00374F66"/>
    <w:rsid w:val="003763CA"/>
    <w:rsid w:val="003A689A"/>
    <w:rsid w:val="003B3FF4"/>
    <w:rsid w:val="003C1693"/>
    <w:rsid w:val="003C20A9"/>
    <w:rsid w:val="003D1DC0"/>
    <w:rsid w:val="003F6360"/>
    <w:rsid w:val="004236E8"/>
    <w:rsid w:val="004270DA"/>
    <w:rsid w:val="0045645A"/>
    <w:rsid w:val="0046523A"/>
    <w:rsid w:val="00466BA9"/>
    <w:rsid w:val="00475CCC"/>
    <w:rsid w:val="004A0136"/>
    <w:rsid w:val="004A37E0"/>
    <w:rsid w:val="004A7A9B"/>
    <w:rsid w:val="004B3215"/>
    <w:rsid w:val="004E4F55"/>
    <w:rsid w:val="004E5BFB"/>
    <w:rsid w:val="004F1949"/>
    <w:rsid w:val="004F4CF3"/>
    <w:rsid w:val="005000E9"/>
    <w:rsid w:val="00504446"/>
    <w:rsid w:val="00507EDE"/>
    <w:rsid w:val="0051521A"/>
    <w:rsid w:val="00533A0D"/>
    <w:rsid w:val="00534A20"/>
    <w:rsid w:val="00584A41"/>
    <w:rsid w:val="00590FC5"/>
    <w:rsid w:val="005A1FA7"/>
    <w:rsid w:val="005A7D8B"/>
    <w:rsid w:val="005B1C86"/>
    <w:rsid w:val="005B4CA2"/>
    <w:rsid w:val="005B51A5"/>
    <w:rsid w:val="005B5D5D"/>
    <w:rsid w:val="005B7E21"/>
    <w:rsid w:val="005C1BAD"/>
    <w:rsid w:val="005C38AF"/>
    <w:rsid w:val="005E1A19"/>
    <w:rsid w:val="00612825"/>
    <w:rsid w:val="006306BC"/>
    <w:rsid w:val="0063237B"/>
    <w:rsid w:val="00634E41"/>
    <w:rsid w:val="0064487C"/>
    <w:rsid w:val="00645ACF"/>
    <w:rsid w:val="00646B77"/>
    <w:rsid w:val="00651741"/>
    <w:rsid w:val="00654943"/>
    <w:rsid w:val="00654DF4"/>
    <w:rsid w:val="00660933"/>
    <w:rsid w:val="0066137F"/>
    <w:rsid w:val="006949D1"/>
    <w:rsid w:val="00694F39"/>
    <w:rsid w:val="00695786"/>
    <w:rsid w:val="006A09EE"/>
    <w:rsid w:val="006B0B2E"/>
    <w:rsid w:val="006B59AB"/>
    <w:rsid w:val="006C00A5"/>
    <w:rsid w:val="006C7EA9"/>
    <w:rsid w:val="006E321D"/>
    <w:rsid w:val="006E745E"/>
    <w:rsid w:val="006F0E36"/>
    <w:rsid w:val="007122D0"/>
    <w:rsid w:val="007302E7"/>
    <w:rsid w:val="0075548C"/>
    <w:rsid w:val="007616CF"/>
    <w:rsid w:val="007630D8"/>
    <w:rsid w:val="007654CB"/>
    <w:rsid w:val="007667C2"/>
    <w:rsid w:val="00771504"/>
    <w:rsid w:val="00771F6F"/>
    <w:rsid w:val="00772EF1"/>
    <w:rsid w:val="00773891"/>
    <w:rsid w:val="00787ECB"/>
    <w:rsid w:val="007A7D1F"/>
    <w:rsid w:val="007B4DD8"/>
    <w:rsid w:val="007C0F47"/>
    <w:rsid w:val="007C7FFD"/>
    <w:rsid w:val="0080100E"/>
    <w:rsid w:val="008013FE"/>
    <w:rsid w:val="00812D8C"/>
    <w:rsid w:val="00814361"/>
    <w:rsid w:val="0082642B"/>
    <w:rsid w:val="0083504D"/>
    <w:rsid w:val="00836104"/>
    <w:rsid w:val="00843CF4"/>
    <w:rsid w:val="008601FE"/>
    <w:rsid w:val="00870E0B"/>
    <w:rsid w:val="00887BA6"/>
    <w:rsid w:val="00887C79"/>
    <w:rsid w:val="008A4888"/>
    <w:rsid w:val="008C1442"/>
    <w:rsid w:val="008C2A16"/>
    <w:rsid w:val="008D468B"/>
    <w:rsid w:val="008D5688"/>
    <w:rsid w:val="008E3714"/>
    <w:rsid w:val="008F361B"/>
    <w:rsid w:val="00905CB0"/>
    <w:rsid w:val="009176E1"/>
    <w:rsid w:val="009372BD"/>
    <w:rsid w:val="009477B7"/>
    <w:rsid w:val="00950101"/>
    <w:rsid w:val="00961B83"/>
    <w:rsid w:val="00971511"/>
    <w:rsid w:val="00995E84"/>
    <w:rsid w:val="009976E3"/>
    <w:rsid w:val="009A67F6"/>
    <w:rsid w:val="009B55E4"/>
    <w:rsid w:val="009C2AD2"/>
    <w:rsid w:val="009E575D"/>
    <w:rsid w:val="00A061CD"/>
    <w:rsid w:val="00A22050"/>
    <w:rsid w:val="00A224E1"/>
    <w:rsid w:val="00A270E8"/>
    <w:rsid w:val="00A479BA"/>
    <w:rsid w:val="00A525AD"/>
    <w:rsid w:val="00A576AD"/>
    <w:rsid w:val="00A83F93"/>
    <w:rsid w:val="00A877BF"/>
    <w:rsid w:val="00A87EB8"/>
    <w:rsid w:val="00A97153"/>
    <w:rsid w:val="00AA08F3"/>
    <w:rsid w:val="00AB2A5C"/>
    <w:rsid w:val="00AC1DA8"/>
    <w:rsid w:val="00AC239B"/>
    <w:rsid w:val="00AC54D5"/>
    <w:rsid w:val="00AC74E1"/>
    <w:rsid w:val="00AE43B7"/>
    <w:rsid w:val="00AE6812"/>
    <w:rsid w:val="00AE7A01"/>
    <w:rsid w:val="00B12A2F"/>
    <w:rsid w:val="00B13F9B"/>
    <w:rsid w:val="00B23568"/>
    <w:rsid w:val="00B30B22"/>
    <w:rsid w:val="00B53526"/>
    <w:rsid w:val="00B81A37"/>
    <w:rsid w:val="00B83161"/>
    <w:rsid w:val="00B935C4"/>
    <w:rsid w:val="00B95C2E"/>
    <w:rsid w:val="00B95D86"/>
    <w:rsid w:val="00B96690"/>
    <w:rsid w:val="00BB0D32"/>
    <w:rsid w:val="00BE258E"/>
    <w:rsid w:val="00C1119A"/>
    <w:rsid w:val="00C14765"/>
    <w:rsid w:val="00C17C27"/>
    <w:rsid w:val="00C30E6F"/>
    <w:rsid w:val="00C4557D"/>
    <w:rsid w:val="00C55FAC"/>
    <w:rsid w:val="00C61085"/>
    <w:rsid w:val="00C727E3"/>
    <w:rsid w:val="00C87895"/>
    <w:rsid w:val="00C9262E"/>
    <w:rsid w:val="00C96073"/>
    <w:rsid w:val="00C966DB"/>
    <w:rsid w:val="00CA3901"/>
    <w:rsid w:val="00CB0646"/>
    <w:rsid w:val="00CB1968"/>
    <w:rsid w:val="00CB3198"/>
    <w:rsid w:val="00CF7A2C"/>
    <w:rsid w:val="00D01D48"/>
    <w:rsid w:val="00D0646C"/>
    <w:rsid w:val="00D27A26"/>
    <w:rsid w:val="00D607CB"/>
    <w:rsid w:val="00D8626E"/>
    <w:rsid w:val="00D92D80"/>
    <w:rsid w:val="00DA2D96"/>
    <w:rsid w:val="00DB523A"/>
    <w:rsid w:val="00DC4A0C"/>
    <w:rsid w:val="00E16713"/>
    <w:rsid w:val="00E17A5B"/>
    <w:rsid w:val="00E337DE"/>
    <w:rsid w:val="00E4555C"/>
    <w:rsid w:val="00E45C92"/>
    <w:rsid w:val="00E64873"/>
    <w:rsid w:val="00E71845"/>
    <w:rsid w:val="00E82969"/>
    <w:rsid w:val="00E956A8"/>
    <w:rsid w:val="00EA0987"/>
    <w:rsid w:val="00EA4802"/>
    <w:rsid w:val="00ED51CC"/>
    <w:rsid w:val="00EE0CCE"/>
    <w:rsid w:val="00EE526F"/>
    <w:rsid w:val="00EF57A8"/>
    <w:rsid w:val="00EF5A32"/>
    <w:rsid w:val="00F067B1"/>
    <w:rsid w:val="00F11AC5"/>
    <w:rsid w:val="00F177A4"/>
    <w:rsid w:val="00F225D0"/>
    <w:rsid w:val="00F27982"/>
    <w:rsid w:val="00F32C02"/>
    <w:rsid w:val="00F4150A"/>
    <w:rsid w:val="00F565EC"/>
    <w:rsid w:val="00F82B7D"/>
    <w:rsid w:val="00F96A2A"/>
    <w:rsid w:val="00F96F22"/>
    <w:rsid w:val="00F96FA4"/>
    <w:rsid w:val="00F97C90"/>
    <w:rsid w:val="00FB1AFE"/>
    <w:rsid w:val="00FB3407"/>
    <w:rsid w:val="00FB3BB0"/>
    <w:rsid w:val="00FB7026"/>
    <w:rsid w:val="00FC14F8"/>
    <w:rsid w:val="00FC1EA1"/>
    <w:rsid w:val="00FC71E4"/>
    <w:rsid w:val="00FD68A0"/>
    <w:rsid w:val="00FD7661"/>
    <w:rsid w:val="00FE6985"/>
    <w:rsid w:val="00FF1BA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43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prs-AF"/>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1949"/>
    <w:pPr>
      <w:tabs>
        <w:tab w:val="center" w:pos="4513"/>
        <w:tab w:val="right" w:pos="9026"/>
      </w:tabs>
    </w:pPr>
  </w:style>
  <w:style w:type="character" w:customStyle="1" w:styleId="HeaderChar">
    <w:name w:val="Header Char"/>
    <w:basedOn w:val="DefaultParagraphFont"/>
    <w:link w:val="Header"/>
    <w:uiPriority w:val="99"/>
    <w:rsid w:val="004F1949"/>
    <w:rPr>
      <w:rFonts w:ascii="Calibri" w:eastAsia="Calibri" w:hAnsi="Calibri" w:cs="Calibri"/>
    </w:rPr>
  </w:style>
  <w:style w:type="paragraph" w:styleId="Footer">
    <w:name w:val="footer"/>
    <w:basedOn w:val="Normal"/>
    <w:link w:val="FooterChar"/>
    <w:uiPriority w:val="99"/>
    <w:unhideWhenUsed/>
    <w:rsid w:val="004F1949"/>
    <w:pPr>
      <w:tabs>
        <w:tab w:val="center" w:pos="4513"/>
        <w:tab w:val="right" w:pos="9026"/>
      </w:tabs>
    </w:pPr>
  </w:style>
  <w:style w:type="character" w:customStyle="1" w:styleId="FooterChar">
    <w:name w:val="Footer Char"/>
    <w:basedOn w:val="DefaultParagraphFont"/>
    <w:link w:val="Footer"/>
    <w:uiPriority w:val="99"/>
    <w:rsid w:val="004F1949"/>
    <w:rPr>
      <w:rFonts w:ascii="Calibri" w:eastAsia="Calibri" w:hAnsi="Calibri" w:cs="Calibri"/>
    </w:rPr>
  </w:style>
  <w:style w:type="character" w:styleId="Hyperlink">
    <w:name w:val="Hyperlink"/>
    <w:basedOn w:val="DefaultParagraphFont"/>
    <w:uiPriority w:val="99"/>
    <w:unhideWhenUsed/>
    <w:rsid w:val="00475CCC"/>
    <w:rPr>
      <w:color w:val="0000FF" w:themeColor="hyperlink"/>
      <w:u w:val="single"/>
    </w:rPr>
  </w:style>
  <w:style w:type="character" w:styleId="UnresolvedMention">
    <w:name w:val="Unresolved Mention"/>
    <w:basedOn w:val="DefaultParagraphFont"/>
    <w:uiPriority w:val="99"/>
    <w:semiHidden/>
    <w:unhideWhenUsed/>
    <w:rsid w:val="00475CCC"/>
    <w:rPr>
      <w:color w:val="605E5C"/>
      <w:shd w:val="clear" w:color="auto" w:fill="E1DFDD"/>
    </w:rPr>
  </w:style>
  <w:style w:type="character" w:styleId="CommentReference">
    <w:name w:val="annotation reference"/>
    <w:basedOn w:val="DefaultParagraphFont"/>
    <w:uiPriority w:val="99"/>
    <w:semiHidden/>
    <w:unhideWhenUsed/>
    <w:rsid w:val="00AC239B"/>
    <w:rPr>
      <w:sz w:val="16"/>
      <w:szCs w:val="16"/>
    </w:rPr>
  </w:style>
  <w:style w:type="paragraph" w:styleId="CommentText">
    <w:name w:val="annotation text"/>
    <w:basedOn w:val="Normal"/>
    <w:link w:val="CommentTextChar"/>
    <w:uiPriority w:val="99"/>
    <w:unhideWhenUsed/>
    <w:rsid w:val="00AC239B"/>
    <w:rPr>
      <w:sz w:val="20"/>
      <w:szCs w:val="20"/>
    </w:rPr>
  </w:style>
  <w:style w:type="character" w:customStyle="1" w:styleId="CommentTextChar">
    <w:name w:val="Comment Text Char"/>
    <w:basedOn w:val="DefaultParagraphFont"/>
    <w:link w:val="CommentText"/>
    <w:uiPriority w:val="99"/>
    <w:rsid w:val="00AC239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C239B"/>
    <w:rPr>
      <w:b/>
      <w:bCs/>
    </w:rPr>
  </w:style>
  <w:style w:type="character" w:customStyle="1" w:styleId="CommentSubjectChar">
    <w:name w:val="Comment Subject Char"/>
    <w:basedOn w:val="CommentTextChar"/>
    <w:link w:val="CommentSubject"/>
    <w:uiPriority w:val="99"/>
    <w:semiHidden/>
    <w:rsid w:val="00AC239B"/>
    <w:rPr>
      <w:rFonts w:ascii="Calibri" w:eastAsia="Calibri" w:hAnsi="Calibri" w:cs="Calibri"/>
      <w:b/>
      <w:bCs/>
      <w:sz w:val="20"/>
      <w:szCs w:val="20"/>
    </w:rPr>
  </w:style>
  <w:style w:type="paragraph" w:styleId="Revision">
    <w:name w:val="Revision"/>
    <w:hidden/>
    <w:uiPriority w:val="99"/>
    <w:semiHidden/>
    <w:rsid w:val="003549A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5B7E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fetravel.govt.nz/before-you-go/who-is-travelling/refugees-and-former-refugees"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safetravel.govt.nz/before-you-go/who-is-travelling/dual-citizens-and-permanent-residents"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safetravel.govt.nz/" TargetMode="External"/><Relationship Id="rId4" Type="http://schemas.openxmlformats.org/officeDocument/2006/relationships/webSettings" Target="webSettings.xml"/><Relationship Id="rId9" Type="http://schemas.openxmlformats.org/officeDocument/2006/relationships/hyperlink" Target="https://www.safetravel.govt.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CRFIWEBSITE-145050222-140</_dlc_DocId>
    <_dlc_DocIdUrl xmlns="c78cdbf8-4243-4362-8765-2acd0e03065b">
      <Url>https://azurediagovt.sharepoint.com/sites/EXT-CommunityResiliencetoForeignInterferencewebsite_MEC/_layouts/15/DocIdRedir.aspx?ID=CRFIWEBSITE-145050222-140</Url>
      <Description>CRFIWEBSITE-145050222-140</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F82729E1-9E14-4B27-8FBE-2704C8BE39B7}"/>
</file>

<file path=customXml/itemProps2.xml><?xml version="1.0" encoding="utf-8"?>
<ds:datastoreItem xmlns:ds="http://schemas.openxmlformats.org/officeDocument/2006/customXml" ds:itemID="{744F984D-A1ED-4BD9-9F82-8B320B155C50}"/>
</file>

<file path=customXml/itemProps3.xml><?xml version="1.0" encoding="utf-8"?>
<ds:datastoreItem xmlns:ds="http://schemas.openxmlformats.org/officeDocument/2006/customXml" ds:itemID="{D48F4F87-4136-429F-8019-1C9FFE531BD4}"/>
</file>

<file path=customXml/itemProps4.xml><?xml version="1.0" encoding="utf-8"?>
<ds:datastoreItem xmlns:ds="http://schemas.openxmlformats.org/officeDocument/2006/customXml" ds:itemID="{2D8AE2FC-6AA6-4D67-86FD-29E4D7485BF9}"/>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3139</Characters>
  <Application>Microsoft Office Word</Application>
  <DocSecurity>2</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2026-07-30T04:18:00Z</dcterms:created>
  <dcterms:modified xsi:type="dcterms:W3CDTF">2026-07-30T04:18:00Z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824200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l8c0f39d15824d909a6f5acef1bcb5e3">
    <vt:lpwstr>UNCLASSIFIED|2c10f15e-4fe4-4bec-ae91-1116436da94b</vt:lpwstr>
  </property>
  <property fmtid="{D5CDD505-2E9C-101B-9397-08002B2CF9AE}" pid="14" name="_dlc_DocIdItemGuid">
    <vt:lpwstr>7654c751-2136-43b3-a104-b277a3b9ceb9</vt:lpwstr>
  </property>
  <property fmtid="{D5CDD505-2E9C-101B-9397-08002B2CF9AE}" pid="15" name="DIASecurityClassification">
    <vt:i4>2</vt:i4>
  </property>
</Properties>
</file>