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ind w:left="0"/>
        <w:rPr>
          <w:rFonts w:ascii="Acumin Pro" w:hAnsi="Acumin Pro"/>
        </w:rPr>
      </w:pPr>
      <w:r>
        <w:rPr>
          <w:rFonts w:ascii="Acumin Pro" w:hAnsi="Acumin Pro"/>
          <w:color w:val="391335"/>
          <w:spacing w:val="-4"/>
        </w:rPr>
        <w:t>Voyages à l’étranger et ingérences étrangères</w:t>
      </w:r>
    </w:p>
    <w:p w14:paraId="2294368F" w14:textId="77777777"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5"/>
          <w:w w:val="105"/>
        </w:rPr>
        <w:t>Lors de voyages à l’étranger, certaines personnes peuvent être la cible d'ingérence étrangère en raison d’un contrôle accru des autorités étrangères, y compris de leurs agences de sécurité et de renseignement.</w:t>
      </w:r>
    </w:p>
    <w:p w14:paraId="22943691" w14:textId="6268C4A1"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4"/>
          <w:w w:val="103"/>
        </w:rPr>
        <w:t>Il est important de rappeler que la plupart des voyageurs ne sont pas dans cette situation et que les contrôles aux frontières sont courants et de routine dans le monde entier et sans lien avec des ingérences étrangères.</w:t>
      </w:r>
    </w:p>
    <w:p w14:paraId="22943693" w14:textId="73884628" w:rsidR="009C2AD2" w:rsidRPr="00AE7A01" w:rsidRDefault="00C55FAC" w:rsidP="00E956A8">
      <w:pPr>
        <w:pStyle w:val="BodyText"/>
        <w:spacing w:before="360"/>
        <w:rPr>
          <w:rFonts w:ascii="Acumin Pro" w:hAnsi="Acumin Pro"/>
          <w:b/>
          <w:bCs/>
        </w:rPr>
      </w:pPr>
      <w:r>
        <w:rPr>
          <w:rFonts w:ascii="Acumin Pro" w:hAnsi="Acumin Pro"/>
          <w:b/>
          <w:color w:val="231F20"/>
        </w:rPr>
        <w:t>Les personnes susceptibles d’être soumises à une surveillance accrue en lien avec l’ingérence étrangère incluent :</w:t>
      </w:r>
    </w:p>
    <w:p w14:paraId="22943695"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2"/>
        </w:rPr>
        <w:t>les personnes déjà ciblées en Nouvelle-Zélande ;</w:t>
      </w:r>
    </w:p>
    <w:p w14:paraId="22943696"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certains membres d'une communauté, connus pour avoir des opinions dissidentes ou critiques envers un État étrangers ;</w:t>
      </w:r>
    </w:p>
    <w:p w14:paraId="22943697" w14:textId="16391AAA"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4"/>
        </w:rPr>
        <w:t>les leaders, les défenseurs et les activistes d'une communauté ;</w:t>
      </w:r>
    </w:p>
    <w:p w14:paraId="22943698"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les membres d'une communauté qui voyagent pour des raisons familiales, communautaires ou professionnelles ;</w:t>
      </w:r>
    </w:p>
    <w:p w14:paraId="22943699" w14:textId="7777777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rPr>
        <w:t>les membres d'une communauté travaillant pour une administration ou une municipalité néo-zélandaise ou qui sont titulaires d'un mandat électif en Nouvelle-Zélande ;</w:t>
      </w:r>
    </w:p>
    <w:p w14:paraId="2294369A" w14:textId="7777777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spacing w:val="-1"/>
          <w:w w:val="102"/>
        </w:rPr>
        <w:t>les membres d'une communauté qui travaillent dans d’autres secteurs clés, par exemple les infrastructures sensibles, l'université, les médias ;</w:t>
      </w:r>
    </w:p>
    <w:p w14:paraId="2294369B"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5"/>
        </w:rPr>
        <w:t>les anciens réfugiés.</w:t>
      </w:r>
    </w:p>
    <w:p w14:paraId="2294369D" w14:textId="4DF85FFF" w:rsidR="009C2AD2" w:rsidRPr="00AE7A01" w:rsidRDefault="00C55FAC" w:rsidP="00E956A8">
      <w:pPr>
        <w:pStyle w:val="BodyText"/>
        <w:spacing w:before="360"/>
        <w:rPr>
          <w:rFonts w:ascii="Acumin Pro" w:hAnsi="Acumin Pro"/>
          <w:b/>
          <w:bCs/>
          <w:color w:val="231F20"/>
        </w:rPr>
      </w:pPr>
      <w:r>
        <w:rPr>
          <w:rFonts w:ascii="Acumin Pro" w:hAnsi="Acumin Pro"/>
          <w:b/>
          <w:color w:val="231F20"/>
        </w:rPr>
        <w:t>Les risques sont différents en fonction des pays et incluent :</w:t>
      </w:r>
    </w:p>
    <w:p w14:paraId="2294369F"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un interrogatoire excessif par les</w:t>
      </w:r>
      <w:r>
        <w:rPr>
          <w:rFonts w:ascii="Acumin Pro" w:hAnsi="Acumin Pro"/>
          <w:color w:val="231F20"/>
          <w:spacing w:val="-7"/>
          <w:w w:val="105"/>
        </w:rPr>
        <w:t xml:space="preserve"> autorités locales à propos du voyage, par exemple les intentions, les activités ou les rencontres</w:t>
      </w:r>
      <w:r>
        <w:rPr>
          <w:rFonts w:ascii="Acumin Pro" w:hAnsi="Acumin Pro"/>
          <w:b/>
          <w:color w:val="231F20"/>
          <w:spacing w:val="-7"/>
          <w:w w:val="105"/>
        </w:rPr>
        <w:t> ;</w:t>
      </w:r>
    </w:p>
    <w:p w14:paraId="229436A0"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l'interdiction d'entrer ou de</w:t>
      </w:r>
      <w:r>
        <w:rPr>
          <w:rFonts w:ascii="Acumin Pro" w:hAnsi="Acumin Pro"/>
          <w:b/>
          <w:color w:val="231F20"/>
          <w:w w:val="105"/>
        </w:rPr>
        <w:t xml:space="preserve"> sortir</w:t>
      </w:r>
      <w:r>
        <w:rPr>
          <w:rFonts w:ascii="Acumin Pro" w:hAnsi="Acumin Pro"/>
          <w:color w:val="231F20"/>
          <w:spacing w:val="-6"/>
          <w:w w:val="105"/>
        </w:rPr>
        <w:t>, comme se voir refuser l’embarquement sur les vols ou l’entrée aux points de contrôle frontaliers</w:t>
      </w:r>
      <w:r>
        <w:rPr>
          <w:rFonts w:ascii="Acumin Pro" w:hAnsi="Acumin Pro"/>
          <w:b/>
          <w:color w:val="231F20"/>
          <w:spacing w:val="-7"/>
          <w:w w:val="105"/>
        </w:rPr>
        <w:t> ;</w:t>
      </w:r>
    </w:p>
    <w:p w14:paraId="229436A1"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w w:val="105"/>
        </w:rPr>
        <w:t>l’imposition de</w:t>
      </w:r>
      <w:r>
        <w:rPr>
          <w:rFonts w:ascii="Acumin Pro" w:hAnsi="Acumin Pro"/>
          <w:b/>
          <w:color w:val="231F20"/>
          <w:spacing w:val="-3"/>
          <w:w w:val="105"/>
        </w:rPr>
        <w:t xml:space="preserve"> restrictions de voyage ou de visa</w:t>
      </w:r>
      <w:r>
        <w:rPr>
          <w:rFonts w:ascii="Acumin Pro" w:hAnsi="Acumin Pro"/>
          <w:color w:val="231F20"/>
          <w:spacing w:val="-1"/>
          <w:w w:val="105"/>
        </w:rPr>
        <w:t>, y compris des restrictions sur la circulation à l’intérieur du pays</w:t>
      </w:r>
    </w:p>
    <w:p w14:paraId="2E56D874" w14:textId="77777777" w:rsidR="004270DA" w:rsidRPr="004270DA" w:rsidRDefault="00C55FAC" w:rsidP="004270DA">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4"/>
          <w:w w:val="105"/>
        </w:rPr>
        <w:t xml:space="preserve">la fouille des appareils </w:t>
      </w:r>
      <w:r>
        <w:rPr>
          <w:rFonts w:ascii="Acumin Pro" w:hAnsi="Acumin Pro"/>
          <w:color w:val="231F20"/>
          <w:spacing w:val="-4"/>
          <w:w w:val="105"/>
        </w:rPr>
        <w:t>électroniques, y compris téléphones, ordinateurs portables ou autres appareils, ce qui peut signifier l’accès à des informations ou des communications personnelles</w:t>
      </w:r>
      <w:r>
        <w:rPr>
          <w:rFonts w:ascii="Acumin Pro" w:hAnsi="Acumin Pro"/>
          <w:b/>
          <w:color w:val="231F20"/>
          <w:spacing w:val="-4"/>
          <w:w w:val="105"/>
        </w:rPr>
        <w:t> ;</w:t>
      </w:r>
    </w:p>
    <w:p w14:paraId="5052F636" w14:textId="06D29871" w:rsidR="004270DA" w:rsidRPr="003F16F2" w:rsidRDefault="00C55FAC" w:rsidP="003F16F2">
      <w:pPr>
        <w:pStyle w:val="ListParagraph"/>
        <w:numPr>
          <w:ilvl w:val="0"/>
          <w:numId w:val="5"/>
        </w:numPr>
        <w:tabs>
          <w:tab w:val="left" w:pos="1145"/>
        </w:tabs>
        <w:spacing w:before="200" w:after="200" w:line="285" w:lineRule="auto"/>
        <w:ind w:left="714" w:hanging="357"/>
        <w:rPr>
          <w:rFonts w:ascii="Acumin Pro" w:hAnsi="Acumin Pro"/>
          <w:color w:val="231F20"/>
          <w:w w:val="110"/>
        </w:rPr>
      </w:pPr>
      <w:r>
        <w:rPr>
          <w:rFonts w:ascii="Acumin Pro" w:hAnsi="Acumin Pro"/>
          <w:b/>
          <w:color w:val="231F20"/>
        </w:rPr>
        <w:lastRenderedPageBreak/>
        <w:t xml:space="preserve">la surveillance ciblée, la détention ou l'emprisonnement après </w:t>
      </w:r>
      <w:r w:rsidRPr="004270DA">
        <w:rPr>
          <w:rFonts w:ascii="Acumin Pro" w:hAnsi="Acumin Pro"/>
          <w:color w:val="231F20"/>
        </w:rPr>
        <w:t>l’arrivée,</w:t>
      </w:r>
      <w:r>
        <w:rPr>
          <w:rFonts w:ascii="Acumin Pro" w:hAnsi="Acumin Pro"/>
          <w:color w:val="231F20"/>
        </w:rPr>
        <w:t xml:space="preserve"> y compris</w:t>
      </w:r>
      <w:r>
        <w:rPr>
          <w:rFonts w:ascii="Acumin Pro" w:hAnsi="Acumin Pro"/>
          <w:color w:val="231F20"/>
          <w:spacing w:val="-3"/>
          <w:w w:val="110"/>
        </w:rPr>
        <w:t xml:space="preserve"> des actions en justice</w:t>
      </w:r>
      <w:r>
        <w:rPr>
          <w:rFonts w:ascii="Acumin Pro" w:hAnsi="Acumin Pro"/>
          <w:color w:val="231F20"/>
        </w:rPr>
        <w:t xml:space="preserve"> formelles</w:t>
      </w:r>
      <w:r>
        <w:rPr>
          <w:rFonts w:ascii="Acumin Pro" w:hAnsi="Acumin Pro"/>
          <w:b/>
          <w:color w:val="231F20"/>
        </w:rPr>
        <w:t> </w:t>
      </w:r>
    </w:p>
    <w:p w14:paraId="229436A4" w14:textId="77777777" w:rsidR="009C2AD2" w:rsidRPr="00144994" w:rsidRDefault="00C55FAC" w:rsidP="008601FE">
      <w:pPr>
        <w:pStyle w:val="ListParagraph"/>
        <w:numPr>
          <w:ilvl w:val="0"/>
          <w:numId w:val="5"/>
        </w:numPr>
        <w:tabs>
          <w:tab w:val="left" w:pos="1145"/>
        </w:tabs>
        <w:spacing w:before="200" w:after="200"/>
        <w:ind w:left="714" w:hanging="357"/>
        <w:rPr>
          <w:rFonts w:ascii="Acumin Pro" w:hAnsi="Acumin Pro"/>
        </w:rPr>
      </w:pPr>
      <w:r>
        <w:rPr>
          <w:rFonts w:ascii="Acumin Pro" w:hAnsi="Acumin Pro"/>
          <w:b/>
          <w:color w:val="231F20"/>
          <w:spacing w:val="2"/>
        </w:rPr>
        <w:t>des menaces d’intimidation, de harcèlement</w:t>
      </w:r>
      <w:r>
        <w:rPr>
          <w:rFonts w:ascii="Acumin Pro" w:hAnsi="Acumin Pro"/>
          <w:b/>
          <w:color w:val="231F20"/>
          <w:spacing w:val="4"/>
        </w:rPr>
        <w:t xml:space="preserve"> ou</w:t>
      </w:r>
      <w:r>
        <w:rPr>
          <w:rFonts w:ascii="Acumin Pro" w:hAnsi="Acumin Pro"/>
          <w:color w:val="231F20"/>
          <w:spacing w:val="2"/>
        </w:rPr>
        <w:t xml:space="preserve"> des menaces de la part</w:t>
      </w:r>
      <w:r>
        <w:rPr>
          <w:rFonts w:ascii="Acumin Pro" w:hAnsi="Acumin Pro"/>
          <w:color w:val="231F20"/>
          <w:spacing w:val="-2"/>
        </w:rPr>
        <w:t xml:space="preserve"> des autorités</w:t>
      </w:r>
      <w:r>
        <w:rPr>
          <w:rFonts w:ascii="Acumin Pro" w:hAnsi="Acumin Pro"/>
          <w:color w:val="231F20"/>
          <w:spacing w:val="2"/>
        </w:rPr>
        <w:t xml:space="preserve"> locales</w:t>
      </w:r>
      <w:r>
        <w:rPr>
          <w:rFonts w:ascii="Acumin Pro" w:hAnsi="Acumin Pro"/>
          <w:b/>
          <w:color w:val="231F20"/>
          <w:spacing w:val="2"/>
        </w:rPr>
        <w:t> ;</w:t>
      </w:r>
    </w:p>
    <w:p w14:paraId="169D5769" w14:textId="5ABF7858" w:rsidR="000F1A92" w:rsidRPr="000F1A92" w:rsidRDefault="00C55FAC" w:rsidP="008601F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rPr>
        <w:t>des interrogatoires, du harcèlement ou de</w:t>
      </w:r>
      <w:r>
        <w:rPr>
          <w:rFonts w:ascii="Acumin Pro" w:hAnsi="Acumin Pro"/>
          <w:b/>
          <w:color w:val="231F20"/>
          <w:spacing w:val="4"/>
        </w:rPr>
        <w:t xml:space="preserve"> l’intimidation par</w:t>
      </w:r>
      <w:r>
        <w:rPr>
          <w:rFonts w:ascii="Acumin Pro" w:hAnsi="Acumin Pro"/>
          <w:b/>
          <w:color w:val="231F20"/>
        </w:rPr>
        <w:t xml:space="preserve"> des groupes locaux</w:t>
      </w:r>
      <w:r w:rsidRPr="00144994">
        <w:rPr>
          <w:rFonts w:ascii="Acumin Pro" w:hAnsi="Acumin Pro"/>
          <w:color w:val="231F20"/>
        </w:rPr>
        <w:t>,</w:t>
      </w:r>
      <w:r>
        <w:rPr>
          <w:rFonts w:ascii="Acumin Pro" w:hAnsi="Acumin Pro"/>
          <w:color w:val="231F20"/>
        </w:rPr>
        <w:t xml:space="preserve"> et non pas seulement par</w:t>
      </w:r>
      <w:r>
        <w:rPr>
          <w:rFonts w:ascii="Acumin Pro" w:hAnsi="Acumin Pro"/>
          <w:color w:val="231F20"/>
          <w:spacing w:val="-5"/>
          <w:w w:val="108"/>
        </w:rPr>
        <w:t xml:space="preserve"> les forces de l’ordre ou les autorités</w:t>
      </w:r>
      <w:r>
        <w:rPr>
          <w:rFonts w:ascii="Acumin Pro" w:hAnsi="Acumin Pro"/>
          <w:b/>
          <w:color w:val="231F20"/>
        </w:rPr>
        <w:t>.</w:t>
      </w:r>
    </w:p>
    <w:p w14:paraId="2D2F1A0F" w14:textId="77777777" w:rsidR="000F1A92" w:rsidRPr="00AE43B7" w:rsidRDefault="000F1A92" w:rsidP="00E956A8">
      <w:pPr>
        <w:pStyle w:val="Heading2"/>
        <w:spacing w:before="360"/>
        <w:ind w:left="0"/>
        <w:rPr>
          <w:rFonts w:ascii="Acumin Pro" w:hAnsi="Acumin Pro"/>
        </w:rPr>
      </w:pPr>
      <w:r>
        <w:rPr>
          <w:rFonts w:ascii="Acumin Pro" w:hAnsi="Acumin Pro"/>
          <w:color w:val="391335"/>
        </w:rPr>
        <w:t>Assistance consulaire néo-zélandaise</w:t>
      </w:r>
    </w:p>
    <w:p w14:paraId="03076CCC" w14:textId="77777777"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Le ministère des Affaires étrangères et du Commerce (MFAT) fournit des services consulaires aux citoyens néo-zélandais en dehors de la Nouvelle-Zélande, même s’ils ne résident normalement pas en Nouvelle-Zélande.</w:t>
      </w:r>
    </w:p>
    <w:p w14:paraId="54DA327A" w14:textId="77777777" w:rsidR="000F1A92" w:rsidRPr="00144994" w:rsidRDefault="000F1A92" w:rsidP="000364AB">
      <w:pPr>
        <w:pStyle w:val="BodyText"/>
        <w:spacing w:before="200" w:after="200"/>
        <w:rPr>
          <w:rFonts w:ascii="Acumin Pro" w:hAnsi="Acumin Pro"/>
        </w:rPr>
      </w:pPr>
      <w:r>
        <w:rPr>
          <w:rFonts w:ascii="Acumin Pro" w:hAnsi="Acumin Pro"/>
          <w:color w:val="231F20"/>
          <w:spacing w:val="3"/>
        </w:rPr>
        <w:t>L’assistance consulaire n’est généralement pas fournie aux résidents permanents néo-zélandais.</w:t>
      </w:r>
    </w:p>
    <w:p w14:paraId="1A83DD3B" w14:textId="34BC5703"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Les Néo-Zélandais à l’étranger sont soumis aux lois locales des pays dans lesquels ils se rendent, y compris celles régissant la détention, les poursuites ou les restrictions de voyage.</w:t>
      </w:r>
    </w:p>
    <w:p w14:paraId="34B471DC" w14:textId="14CECE11" w:rsidR="000F1A92" w:rsidRPr="00144994" w:rsidRDefault="000F1A92" w:rsidP="00E956A8">
      <w:pPr>
        <w:pStyle w:val="BodyText"/>
        <w:spacing w:before="360"/>
        <w:rPr>
          <w:rFonts w:ascii="Acumin Pro" w:hAnsi="Acumin Pro"/>
          <w:b/>
          <w:bCs/>
        </w:rPr>
      </w:pPr>
      <w:r>
        <w:rPr>
          <w:rFonts w:ascii="Acumin Pro" w:hAnsi="Acumin Pro"/>
          <w:b/>
          <w:color w:val="231F20"/>
          <w:spacing w:val="-2"/>
          <w:w w:val="107"/>
        </w:rPr>
        <w:t xml:space="preserve">Double </w:t>
      </w:r>
      <w:r w:rsidR="00EB440E">
        <w:rPr>
          <w:rFonts w:ascii="Acumin Pro" w:hAnsi="Acumin Pro"/>
          <w:b/>
          <w:color w:val="231F20"/>
          <w:spacing w:val="-2"/>
          <w:w w:val="107"/>
        </w:rPr>
        <w:t>nationalité</w:t>
      </w:r>
    </w:p>
    <w:p w14:paraId="25F65E43" w14:textId="77777777" w:rsidR="002D6D45" w:rsidRDefault="000F1A92" w:rsidP="000364AB">
      <w:pPr>
        <w:pStyle w:val="BodyText"/>
        <w:spacing w:before="200" w:after="200" w:line="249" w:lineRule="auto"/>
        <w:rPr>
          <w:rFonts w:ascii="Acumin Pro" w:hAnsi="Acumin Pro"/>
          <w:color w:val="231F20"/>
          <w:w w:val="105"/>
        </w:rPr>
      </w:pPr>
      <w:r>
        <w:rPr>
          <w:rFonts w:ascii="Acumin Pro" w:hAnsi="Acumin Pro"/>
          <w:color w:val="231F20"/>
          <w:spacing w:val="-5"/>
          <w:w w:val="104"/>
        </w:rPr>
        <w:t>La double nationalité peut affecter la capacité de la Nouvelle-Zélande à fournir une assistance consulaire. Lorsqu'un·e Néo-Zélandais·e se trouve dans l'autre pays dont il est également citoyen·ne, les autorités locales peuvent ne considérer que la citoyenneté locale et refuser l’intervention des autorités néo-zélandaises.</w:t>
      </w:r>
    </w:p>
    <w:p w14:paraId="2CFAB287" w14:textId="778AF4F9" w:rsidR="000F1A92" w:rsidRPr="00F177A4" w:rsidRDefault="000F1A92" w:rsidP="000364AB">
      <w:pPr>
        <w:pStyle w:val="BodyText"/>
        <w:spacing w:before="200" w:after="200" w:line="249" w:lineRule="auto"/>
        <w:rPr>
          <w:rFonts w:ascii="Acumin Pro" w:hAnsi="Acumin Pro"/>
        </w:rPr>
      </w:pPr>
      <w:r>
        <w:rPr>
          <w:rFonts w:ascii="Acumin Pro" w:hAnsi="Acumin Pro"/>
          <w:color w:val="231F20"/>
        </w:rPr>
        <w:t xml:space="preserve">Des renseignements supplémentaires sont disponibles sur Safe Travel : </w:t>
      </w:r>
      <w:hyperlink r:id="rId7" w:history="1">
        <w:r>
          <w:rPr>
            <w:rStyle w:val="Hyperlink"/>
            <w:rFonts w:ascii="Acumin Pro" w:hAnsi="Acumin Pro"/>
          </w:rPr>
          <w:t xml:space="preserve">Dual citizens and permanent residents </w:t>
        </w:r>
      </w:hyperlink>
      <w:r w:rsidRPr="00144994">
        <w:rPr>
          <w:rFonts w:ascii="Acumin Pro" w:hAnsi="Acumin Pro"/>
          <w:color w:val="0000FF"/>
        </w:rPr>
        <w:t xml:space="preserve"> </w:t>
      </w:r>
    </w:p>
    <w:p w14:paraId="0F0C8816" w14:textId="77777777" w:rsidR="000F1A92" w:rsidRPr="00144994" w:rsidRDefault="000F1A92" w:rsidP="00E956A8">
      <w:pPr>
        <w:pStyle w:val="BodyText"/>
        <w:spacing w:before="360"/>
        <w:rPr>
          <w:rFonts w:ascii="Acumin Pro" w:hAnsi="Acumin Pro"/>
          <w:b/>
          <w:bCs/>
        </w:rPr>
      </w:pPr>
      <w:r>
        <w:rPr>
          <w:rFonts w:ascii="Acumin Pro" w:hAnsi="Acumin Pro"/>
          <w:b/>
        </w:rPr>
        <w:t>Réfugiés et anciens réfugiés</w:t>
      </w:r>
    </w:p>
    <w:p w14:paraId="6ECD5ED9" w14:textId="77777777" w:rsidR="000F1A92" w:rsidRPr="00144994" w:rsidRDefault="000F1A92" w:rsidP="000364AB">
      <w:pPr>
        <w:pStyle w:val="BodyText"/>
        <w:spacing w:before="200" w:after="200" w:line="249" w:lineRule="auto"/>
        <w:rPr>
          <w:rFonts w:ascii="Acumin Pro" w:hAnsi="Acumin Pro"/>
          <w:color w:val="231F20"/>
        </w:rPr>
      </w:pPr>
      <w:r>
        <w:rPr>
          <w:rFonts w:ascii="Acumin Pro" w:hAnsi="Acumin Pro"/>
          <w:color w:val="231F20"/>
        </w:rPr>
        <w:t>Si vous êtes un réfugié hors de Nouvelle-Zélande, il existe des limitations importantes au soutien que le gouvernement néo-zélandais peut fournir.</w:t>
      </w:r>
    </w:p>
    <w:p w14:paraId="65A8D97F" w14:textId="438E59EC" w:rsidR="000F1A92" w:rsidRPr="00144994" w:rsidRDefault="000F1A92" w:rsidP="000364AB">
      <w:pPr>
        <w:pStyle w:val="BodyText"/>
        <w:spacing w:before="200" w:after="200" w:line="249" w:lineRule="auto"/>
        <w:rPr>
          <w:rFonts w:ascii="Acumin Pro" w:hAnsi="Acumin Pro"/>
        </w:rPr>
      </w:pPr>
      <w:r>
        <w:rPr>
          <w:rFonts w:ascii="Acumin Pro" w:hAnsi="Acumin Pro"/>
          <w:color w:val="231F20"/>
        </w:rPr>
        <w:t xml:space="preserve">Des renseignements supplémentaires sont disponibles sur : </w:t>
      </w:r>
      <w:hyperlink r:id="rId8" w:history="1">
        <w:r>
          <w:rPr>
            <w:rStyle w:val="Hyperlink"/>
            <w:rFonts w:ascii="Acumin Pro" w:hAnsi="Acumin Pro"/>
            <w:spacing w:val="-2"/>
          </w:rPr>
          <w:t>Refugees and former refugees</w:t>
        </w:r>
      </w:hyperlink>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SafeTravel NZ</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Acumin Pro" w:hAnsi="Acumin Pro"/>
        </w:rPr>
      </w:pPr>
      <w:hyperlink r:id="rId9" w:history="1">
        <w:r>
          <w:rPr>
            <w:rStyle w:val="Hyperlink"/>
            <w:rFonts w:ascii="Acumin Pro" w:hAnsi="Acumin Pro"/>
          </w:rPr>
          <w:t>SafeTravel NZ</w:t>
        </w:r>
      </w:hyperlink>
      <w:r>
        <w:rPr>
          <w:rFonts w:ascii="Acumin Pro" w:hAnsi="Acumin Pro"/>
          <w:color w:val="231F20"/>
          <w:spacing w:val="-4"/>
          <w:w w:val="103"/>
        </w:rPr>
        <w:t xml:space="preserve"> est le site officiel du MFAT à l'intention des Néo-Zélandais voyageant ou vivant à l’étranger. Le site offre des conseils de voyage, des services consulaires, des astuces de sécurité et un système d’inscription pour les voyageurs.</w:t>
      </w:r>
    </w:p>
    <w:p w14:paraId="745E1D48" w14:textId="12915DFA"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pPr>
      <w:r>
        <w:rPr>
          <w:rFonts w:ascii="Acumin Pro" w:hAnsi="Acumin Pro"/>
          <w:color w:val="231F20"/>
          <w:spacing w:val="-4"/>
          <w:w w:val="105"/>
        </w:rPr>
        <w:t xml:space="preserve">Les voyageurs doivent </w:t>
      </w:r>
      <w:r w:rsidR="000F1A92" w:rsidRPr="00144994">
        <w:rPr>
          <w:rFonts w:ascii="Acumin Pro" w:hAnsi="Acumin Pro"/>
          <w:b/>
          <w:bCs/>
          <w:color w:val="231F20"/>
          <w:spacing w:val="-2"/>
          <w:w w:val="105"/>
        </w:rPr>
        <w:t>s’inscrire auprès de</w:t>
      </w:r>
      <w:r w:rsidR="000F1A92" w:rsidRPr="00144994">
        <w:rPr>
          <w:rFonts w:ascii="Acumin Pro" w:hAnsi="Acumin Pro"/>
          <w:color w:val="231F20"/>
          <w:spacing w:val="-7"/>
          <w:w w:val="105"/>
        </w:rPr>
        <w:t xml:space="preserve"> </w:t>
      </w:r>
      <w:hyperlink r:id="rId10" w:history="1">
        <w:proofErr w:type="spellStart"/>
        <w:r>
          <w:rPr>
            <w:rStyle w:val="Hyperlink"/>
            <w:rFonts w:ascii="Acumin Pro" w:hAnsi="Acumin Pro"/>
            <w:spacing w:val="-5"/>
            <w:w w:val="105"/>
          </w:rPr>
          <w:t>SafeTravel</w:t>
        </w:r>
        <w:proofErr w:type="spellEnd"/>
        <w:r>
          <w:rPr>
            <w:rStyle w:val="Hyperlink"/>
            <w:rFonts w:ascii="Acumin Pro" w:hAnsi="Acumin Pro"/>
            <w:spacing w:val="-5"/>
            <w:w w:val="105"/>
          </w:rPr>
          <w:t xml:space="preserve"> New Zealand</w:t>
        </w:r>
      </w:hyperlink>
      <w:r>
        <w:rPr>
          <w:rFonts w:ascii="Acumin Pro" w:hAnsi="Acumin Pro"/>
          <w:color w:val="231F20"/>
          <w:spacing w:val="-5"/>
          <w:w w:val="105"/>
        </w:rPr>
        <w:t xml:space="preserve"> avant de partir à </w:t>
      </w:r>
      <w:r>
        <w:rPr>
          <w:rFonts w:ascii="Acumin Pro" w:hAnsi="Acumin Pro"/>
          <w:color w:val="231F20"/>
          <w:spacing w:val="-5"/>
          <w:w w:val="105"/>
        </w:rPr>
        <w:lastRenderedPageBreak/>
        <w:t>l’étranger. MFAT est ainsi en mesure de fournir des informations exactes, de contacter les voyageurs si nécessaire et d'offrir une assistance lorsque cela est possible.</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D1FED" w14:textId="77777777" w:rsidR="00FC48B1" w:rsidRDefault="00FC48B1">
      <w:r>
        <w:separator/>
      </w:r>
    </w:p>
  </w:endnote>
  <w:endnote w:type="continuationSeparator" w:id="0">
    <w:p w14:paraId="296BA580" w14:textId="77777777" w:rsidR="00FC48B1" w:rsidRDefault="00FC4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03A968E0" w:rsidR="008F361B" w:rsidRPr="00216311" w:rsidRDefault="00EA4802" w:rsidP="008F361B">
    <w:pPr>
      <w:spacing w:before="22"/>
      <w:rPr>
        <w:rFonts w:ascii="Acumin Pro" w:hAnsi="Acumin Pro"/>
        <w:b/>
        <w:sz w:val="20"/>
        <w:szCs w:val="20"/>
      </w:rPr>
    </w:pPr>
    <w:r>
      <w:rPr>
        <w:rFonts w:ascii="Acumin Pro" w:hAnsi="Acumin Pro"/>
        <w:b/>
        <w:color w:val="391335"/>
        <w:sz w:val="20"/>
      </w:rPr>
      <w:t xml:space="preserve"> Voyages à l’étranger et ingérences étrangères </w:t>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8F361B" w:rsidRPr="00216311">
          <w:rPr>
            <w:rFonts w:ascii="Acumin Pro" w:hAnsi="Acumin Pro"/>
            <w:sz w:val="20"/>
            <w:szCs w:val="20"/>
          </w:rPr>
          <w:fldChar w:fldCharType="begin"/>
        </w:r>
        <w:r w:rsidR="008F361B" w:rsidRPr="00216311">
          <w:rPr>
            <w:rFonts w:ascii="Acumin Pro" w:hAnsi="Acumin Pro"/>
            <w:sz w:val="20"/>
            <w:szCs w:val="20"/>
          </w:rPr>
          <w:instrText xml:space="preserve"> PAGE   \* MERGEFORMAT </w:instrText>
        </w:r>
        <w:r w:rsidR="008F361B" w:rsidRPr="00216311">
          <w:rPr>
            <w:rFonts w:ascii="Acumin Pro" w:hAnsi="Acumin Pro"/>
            <w:sz w:val="20"/>
            <w:szCs w:val="20"/>
          </w:rPr>
          <w:fldChar w:fldCharType="separate"/>
        </w:r>
        <w:r>
          <w:rPr>
            <w:rFonts w:ascii="Acumin Pro" w:hAnsi="Acumin Pro"/>
            <w:sz w:val="20"/>
          </w:rPr>
          <w:t>3</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EC5A9" w14:textId="77777777" w:rsidR="00FC48B1" w:rsidRDefault="00FC48B1">
      <w:r>
        <w:separator/>
      </w:r>
    </w:p>
  </w:footnote>
  <w:footnote w:type="continuationSeparator" w:id="0">
    <w:p w14:paraId="3B6281BE" w14:textId="77777777" w:rsidR="00FC48B1" w:rsidRDefault="00FC4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fr-FR" w:eastAsia="en-US" w:bidi="ar-SA"/>
      </w:rPr>
    </w:lvl>
    <w:lvl w:ilvl="1" w:tplc="D2467CCA">
      <w:numFmt w:val="bullet"/>
      <w:lvlText w:val="•"/>
      <w:lvlJc w:val="left"/>
      <w:pPr>
        <w:ind w:left="2018" w:hanging="360"/>
      </w:pPr>
      <w:rPr>
        <w:rFonts w:hint="default"/>
        <w:lang w:val="fr-FR" w:eastAsia="en-US" w:bidi="ar-SA"/>
      </w:rPr>
    </w:lvl>
    <w:lvl w:ilvl="2" w:tplc="EC5E537C">
      <w:numFmt w:val="bullet"/>
      <w:lvlText w:val="•"/>
      <w:lvlJc w:val="left"/>
      <w:pPr>
        <w:ind w:left="2896" w:hanging="360"/>
      </w:pPr>
      <w:rPr>
        <w:rFonts w:hint="default"/>
        <w:lang w:val="fr-FR" w:eastAsia="en-US" w:bidi="ar-SA"/>
      </w:rPr>
    </w:lvl>
    <w:lvl w:ilvl="3" w:tplc="2378FF3E">
      <w:numFmt w:val="bullet"/>
      <w:lvlText w:val="•"/>
      <w:lvlJc w:val="left"/>
      <w:pPr>
        <w:ind w:left="3774" w:hanging="360"/>
      </w:pPr>
      <w:rPr>
        <w:rFonts w:hint="default"/>
        <w:lang w:val="fr-FR" w:eastAsia="en-US" w:bidi="ar-SA"/>
      </w:rPr>
    </w:lvl>
    <w:lvl w:ilvl="4" w:tplc="B52A7B3C">
      <w:numFmt w:val="bullet"/>
      <w:lvlText w:val="•"/>
      <w:lvlJc w:val="left"/>
      <w:pPr>
        <w:ind w:left="4653" w:hanging="360"/>
      </w:pPr>
      <w:rPr>
        <w:rFonts w:hint="default"/>
        <w:lang w:val="fr-FR" w:eastAsia="en-US" w:bidi="ar-SA"/>
      </w:rPr>
    </w:lvl>
    <w:lvl w:ilvl="5" w:tplc="0A8E574A">
      <w:numFmt w:val="bullet"/>
      <w:lvlText w:val="•"/>
      <w:lvlJc w:val="left"/>
      <w:pPr>
        <w:ind w:left="5531" w:hanging="360"/>
      </w:pPr>
      <w:rPr>
        <w:rFonts w:hint="default"/>
        <w:lang w:val="fr-FR" w:eastAsia="en-US" w:bidi="ar-SA"/>
      </w:rPr>
    </w:lvl>
    <w:lvl w:ilvl="6" w:tplc="3B34AFD2">
      <w:numFmt w:val="bullet"/>
      <w:lvlText w:val="•"/>
      <w:lvlJc w:val="left"/>
      <w:pPr>
        <w:ind w:left="6409" w:hanging="360"/>
      </w:pPr>
      <w:rPr>
        <w:rFonts w:hint="default"/>
        <w:lang w:val="fr-FR" w:eastAsia="en-US" w:bidi="ar-SA"/>
      </w:rPr>
    </w:lvl>
    <w:lvl w:ilvl="7" w:tplc="B4721A5E">
      <w:numFmt w:val="bullet"/>
      <w:lvlText w:val="•"/>
      <w:lvlJc w:val="left"/>
      <w:pPr>
        <w:ind w:left="7287" w:hanging="360"/>
      </w:pPr>
      <w:rPr>
        <w:rFonts w:hint="default"/>
        <w:lang w:val="fr-FR" w:eastAsia="en-US" w:bidi="ar-SA"/>
      </w:rPr>
    </w:lvl>
    <w:lvl w:ilvl="8" w:tplc="FF8AE3C2">
      <w:numFmt w:val="bullet"/>
      <w:lvlText w:val="•"/>
      <w:lvlJc w:val="left"/>
      <w:pPr>
        <w:ind w:left="8166" w:hanging="360"/>
      </w:pPr>
      <w:rPr>
        <w:rFonts w:hint="default"/>
        <w:lang w:val="fr-FR"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6"/>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10EEC"/>
    <w:rsid w:val="000364AB"/>
    <w:rsid w:val="0004060A"/>
    <w:rsid w:val="000478ED"/>
    <w:rsid w:val="00047B29"/>
    <w:rsid w:val="00050822"/>
    <w:rsid w:val="000630D6"/>
    <w:rsid w:val="00066891"/>
    <w:rsid w:val="0008019C"/>
    <w:rsid w:val="00081C60"/>
    <w:rsid w:val="000A6499"/>
    <w:rsid w:val="000B2ABB"/>
    <w:rsid w:val="000B769F"/>
    <w:rsid w:val="000D27EC"/>
    <w:rsid w:val="000D2FEE"/>
    <w:rsid w:val="000D7DC8"/>
    <w:rsid w:val="000E7534"/>
    <w:rsid w:val="000F1A92"/>
    <w:rsid w:val="000F332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6102"/>
    <w:rsid w:val="002D6D45"/>
    <w:rsid w:val="002E3E01"/>
    <w:rsid w:val="002E7296"/>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E380E"/>
    <w:rsid w:val="003E40BA"/>
    <w:rsid w:val="003F16F2"/>
    <w:rsid w:val="003F6360"/>
    <w:rsid w:val="004236E8"/>
    <w:rsid w:val="004270DA"/>
    <w:rsid w:val="0045645A"/>
    <w:rsid w:val="0046523A"/>
    <w:rsid w:val="00466BA9"/>
    <w:rsid w:val="00475CCC"/>
    <w:rsid w:val="004A0136"/>
    <w:rsid w:val="004A37E0"/>
    <w:rsid w:val="004A7A9B"/>
    <w:rsid w:val="004B3215"/>
    <w:rsid w:val="004E4F55"/>
    <w:rsid w:val="004E5BFB"/>
    <w:rsid w:val="004F1949"/>
    <w:rsid w:val="004F4CF3"/>
    <w:rsid w:val="005000E9"/>
    <w:rsid w:val="00507EDE"/>
    <w:rsid w:val="0051132F"/>
    <w:rsid w:val="0051521A"/>
    <w:rsid w:val="00533A0D"/>
    <w:rsid w:val="00534A20"/>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B2E"/>
    <w:rsid w:val="006B59AB"/>
    <w:rsid w:val="006C00A5"/>
    <w:rsid w:val="006C7EA9"/>
    <w:rsid w:val="006E745E"/>
    <w:rsid w:val="007122D0"/>
    <w:rsid w:val="007302E7"/>
    <w:rsid w:val="0075548C"/>
    <w:rsid w:val="007616CF"/>
    <w:rsid w:val="007630D8"/>
    <w:rsid w:val="007654CB"/>
    <w:rsid w:val="007667C2"/>
    <w:rsid w:val="00767D9C"/>
    <w:rsid w:val="00771504"/>
    <w:rsid w:val="00771F6F"/>
    <w:rsid w:val="00772EF1"/>
    <w:rsid w:val="00773891"/>
    <w:rsid w:val="00787ECB"/>
    <w:rsid w:val="007C0F47"/>
    <w:rsid w:val="007C7FFD"/>
    <w:rsid w:val="0080100E"/>
    <w:rsid w:val="008013FE"/>
    <w:rsid w:val="00812D8C"/>
    <w:rsid w:val="00814361"/>
    <w:rsid w:val="0082642B"/>
    <w:rsid w:val="0083504D"/>
    <w:rsid w:val="00836104"/>
    <w:rsid w:val="00843CF4"/>
    <w:rsid w:val="008601FE"/>
    <w:rsid w:val="00887BA6"/>
    <w:rsid w:val="00887C79"/>
    <w:rsid w:val="008C1442"/>
    <w:rsid w:val="008C2A16"/>
    <w:rsid w:val="008D468B"/>
    <w:rsid w:val="008D5688"/>
    <w:rsid w:val="008E3714"/>
    <w:rsid w:val="008F361B"/>
    <w:rsid w:val="00905CB0"/>
    <w:rsid w:val="009176E1"/>
    <w:rsid w:val="009372BD"/>
    <w:rsid w:val="009477B7"/>
    <w:rsid w:val="00950101"/>
    <w:rsid w:val="00961B83"/>
    <w:rsid w:val="00971511"/>
    <w:rsid w:val="00995E84"/>
    <w:rsid w:val="009976E3"/>
    <w:rsid w:val="009A67F6"/>
    <w:rsid w:val="009B55E4"/>
    <w:rsid w:val="009C2AD2"/>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0CF"/>
    <w:rsid w:val="00B12A2F"/>
    <w:rsid w:val="00B13F9B"/>
    <w:rsid w:val="00B23568"/>
    <w:rsid w:val="00B30B22"/>
    <w:rsid w:val="00B53526"/>
    <w:rsid w:val="00B81A37"/>
    <w:rsid w:val="00B83161"/>
    <w:rsid w:val="00B935C4"/>
    <w:rsid w:val="00B95C2E"/>
    <w:rsid w:val="00B95D86"/>
    <w:rsid w:val="00B96690"/>
    <w:rsid w:val="00BB0D32"/>
    <w:rsid w:val="00BE258E"/>
    <w:rsid w:val="00C1119A"/>
    <w:rsid w:val="00C14765"/>
    <w:rsid w:val="00C30E6F"/>
    <w:rsid w:val="00C4557D"/>
    <w:rsid w:val="00C55FAC"/>
    <w:rsid w:val="00C61085"/>
    <w:rsid w:val="00C727E3"/>
    <w:rsid w:val="00C87895"/>
    <w:rsid w:val="00C9262E"/>
    <w:rsid w:val="00C96073"/>
    <w:rsid w:val="00C966DB"/>
    <w:rsid w:val="00CA3901"/>
    <w:rsid w:val="00CB0646"/>
    <w:rsid w:val="00CB1968"/>
    <w:rsid w:val="00CB3198"/>
    <w:rsid w:val="00CF7A2C"/>
    <w:rsid w:val="00D01D48"/>
    <w:rsid w:val="00D0646C"/>
    <w:rsid w:val="00D27A26"/>
    <w:rsid w:val="00D607CB"/>
    <w:rsid w:val="00D8626E"/>
    <w:rsid w:val="00D92D80"/>
    <w:rsid w:val="00DA2D96"/>
    <w:rsid w:val="00DB523A"/>
    <w:rsid w:val="00DC4A0C"/>
    <w:rsid w:val="00E16713"/>
    <w:rsid w:val="00E337DE"/>
    <w:rsid w:val="00E4555C"/>
    <w:rsid w:val="00E45C92"/>
    <w:rsid w:val="00E64873"/>
    <w:rsid w:val="00E71845"/>
    <w:rsid w:val="00E82969"/>
    <w:rsid w:val="00E956A8"/>
    <w:rsid w:val="00EA0987"/>
    <w:rsid w:val="00EA4802"/>
    <w:rsid w:val="00EB440E"/>
    <w:rsid w:val="00EB4863"/>
    <w:rsid w:val="00ED51CC"/>
    <w:rsid w:val="00EE0CCE"/>
    <w:rsid w:val="00EE526F"/>
    <w:rsid w:val="00EF57A8"/>
    <w:rsid w:val="00EF5A32"/>
    <w:rsid w:val="00F067B1"/>
    <w:rsid w:val="00F11AC5"/>
    <w:rsid w:val="00F177A4"/>
    <w:rsid w:val="00F225D0"/>
    <w:rsid w:val="00F27982"/>
    <w:rsid w:val="00F32C02"/>
    <w:rsid w:val="00F40A49"/>
    <w:rsid w:val="00F4150A"/>
    <w:rsid w:val="00F565EC"/>
    <w:rsid w:val="00F82B7D"/>
    <w:rsid w:val="00F96A2A"/>
    <w:rsid w:val="00F96F22"/>
    <w:rsid w:val="00F96FA4"/>
    <w:rsid w:val="00FB1AFE"/>
    <w:rsid w:val="00FB3407"/>
    <w:rsid w:val="00FB3BB0"/>
    <w:rsid w:val="00FB7026"/>
    <w:rsid w:val="00FC14F8"/>
    <w:rsid w:val="00FC1EA1"/>
    <w:rsid w:val="00FC48B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CRFIWEBSITE-145050222-190</_dlc_DocId>
    <_dlc_DocIdUrl xmlns="c78cdbf8-4243-4362-8765-2acd0e03065b">
      <Url>https://azurediagovt.sharepoint.com/sites/EXT-CommunityResiliencetoForeignInterferencewebsite_MEC/_layouts/15/DocIdRedir.aspx?ID=CRFIWEBSITE-145050222-190</Url>
      <Description>CRFIWEBSITE-145050222-190</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A658E47D-C6E5-4755-BEA9-8D91FDAD43ED}"/>
</file>

<file path=customXml/itemProps2.xml><?xml version="1.0" encoding="utf-8"?>
<ds:datastoreItem xmlns:ds="http://schemas.openxmlformats.org/officeDocument/2006/customXml" ds:itemID="{E4E61DC7-2175-4A2E-B9CB-5CFDF81B7257}"/>
</file>

<file path=customXml/itemProps3.xml><?xml version="1.0" encoding="utf-8"?>
<ds:datastoreItem xmlns:ds="http://schemas.openxmlformats.org/officeDocument/2006/customXml" ds:itemID="{197992A3-5CB6-4C3A-B320-37AC0715AD2F}"/>
</file>

<file path=customXml/itemProps4.xml><?xml version="1.0" encoding="utf-8"?>
<ds:datastoreItem xmlns:ds="http://schemas.openxmlformats.org/officeDocument/2006/customXml" ds:itemID="{183610A7-1553-4EEC-A915-0753A20F4056}"/>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3694</Characters>
  <Application>Microsoft Office Word</Application>
  <DocSecurity>2</DocSecurity>
  <Lines>30</Lines>
  <Paragraphs>8</Paragraphs>
  <ScaleCrop>false</ScaleCrop>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2026-07-30T04:35:00Z</dcterms:created>
  <dcterms:modified xsi:type="dcterms:W3CDTF">2026-07-30T04:35:00Z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826700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395008a1-9cd5-4edb-8cd6-c0cfbc347ad7</vt:lpwstr>
  </property>
  <property fmtid="{D5CDD505-2E9C-101B-9397-08002B2CF9AE}" pid="15" name="DIASecurityClassification">
    <vt:i4>2</vt:i4>
  </property>
</Properties>
</file>