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bidi/>
        <w:ind w:left="0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391335"/>
          <w:spacing w:val="-4"/>
          <w:rtl/>
        </w:rPr>
        <w:t>السفر إلى الخارج والتدخل الأجنبي</w:t>
      </w:r>
    </w:p>
    <w:p w14:paraId="2294368F" w14:textId="77777777" w:rsidR="009C2AD2" w:rsidRPr="00AE43B7" w:rsidRDefault="00C55FAC" w:rsidP="000364AB">
      <w:pPr>
        <w:pStyle w:val="BodyText"/>
        <w:bidi/>
        <w:spacing w:before="200" w:after="200" w:line="249" w:lineRule="auto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-5"/>
          <w:w w:val="105"/>
          <w:rtl/>
        </w:rPr>
        <w:t>عند السفر إلى الخارج، قد يواجه بعض الأشخاص تدخلاً أجنبياً من خلال تدقيق إضافي من السلطات الأجنبية، بما في ذلك أجهزة الأمن والاستخبارات التابعة لها.</w:t>
      </w:r>
    </w:p>
    <w:p w14:paraId="22943691" w14:textId="6268C4A1" w:rsidR="009C2AD2" w:rsidRPr="00AE43B7" w:rsidRDefault="00C55FAC" w:rsidP="000364AB">
      <w:pPr>
        <w:pStyle w:val="BodyText"/>
        <w:bidi/>
        <w:spacing w:before="200" w:after="200" w:line="249" w:lineRule="auto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-4"/>
          <w:w w:val="103"/>
          <w:rtl/>
        </w:rPr>
        <w:t>من المهم أن نتذكر بأن ليس بالضرورة لمعظم المسافرين أن يواجهوا ذلك، وأن التدقيق على الحدود أمر شائع في جميع أنحاء العالم، وعادة ما يكون أمراً روتينياً ولا يرتبط بالتدخل الأجنبي.</w:t>
      </w:r>
    </w:p>
    <w:p w14:paraId="22943693" w14:textId="73884628" w:rsidR="009C2AD2" w:rsidRPr="00AE7A01" w:rsidRDefault="00C55FAC" w:rsidP="00E956A8">
      <w:pPr>
        <w:pStyle w:val="BodyText"/>
        <w:bidi/>
        <w:spacing w:before="360"/>
        <w:rPr>
          <w:rFonts w:ascii="Acumin Pro" w:hAnsi="Acumin Pro" w:cs="Acumin Pro"/>
          <w:b/>
          <w:bCs/>
        </w:rPr>
      </w:pPr>
      <w:r w:rsidRPr="277FC105">
        <w:rPr>
          <w:rFonts w:ascii="Acumin Pro" w:hAnsi="Acumin Pro" w:cs="Acumin Pro"/>
          <w:b/>
          <w:bCs/>
          <w:color w:val="231F20"/>
          <w:rtl/>
        </w:rPr>
        <w:t>أما الأشخاص الذين قد يتعرضون لتدقيق إضافي مرتبط بالتدخل الأجنبي فيشمل: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-2"/>
          <w:rtl/>
        </w:rPr>
        <w:t>هؤلاء الذين تم استهدافهم في نيوزيلندا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1"/>
          <w:rtl/>
        </w:rPr>
        <w:t>أفراد المجتمع المعروفين بآرائهم أو انتقاداتهم المعارضة للدول الأجنبية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4"/>
          <w:rtl/>
        </w:rPr>
        <w:t>قادة المجتمع ومن يمثلونه والنشطاء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1"/>
          <w:rtl/>
        </w:rPr>
        <w:t>أفراد المجتمع الذين يسافرون لأسباب عائلية أو اجتماعية أو تجارية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rtl/>
        </w:rPr>
        <w:t>أعضاء المجتمع الذين يعملون لصالح حكومة نيوزيلندا، أو مجالس الحكم المحلية، أو مسؤولون منتخبون في نيوزيلندا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-1"/>
          <w:w w:val="102"/>
          <w:rtl/>
        </w:rPr>
        <w:t>أفراد المجتمع الذين يعملون في قطاعات رئيسية أخرى، على سبيل المثال، البنية التحتية الحيوية، والأوساط الأكاديمية، ووسائل الإعلام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-5"/>
          <w:rtl/>
        </w:rPr>
        <w:t>اللاجئون السابقون.</w:t>
      </w:r>
    </w:p>
    <w:p w14:paraId="2294369D" w14:textId="4DF85FFF" w:rsidR="009C2AD2" w:rsidRPr="00AE7A01" w:rsidRDefault="00C55FAC" w:rsidP="00E956A8">
      <w:pPr>
        <w:pStyle w:val="BodyText"/>
        <w:bidi/>
        <w:spacing w:before="360"/>
        <w:rPr>
          <w:rFonts w:ascii="Acumin Pro" w:hAnsi="Acumin Pro" w:cs="Acumin Pro"/>
          <w:b/>
          <w:bCs/>
          <w:color w:val="231F20"/>
        </w:rPr>
      </w:pPr>
      <w:r w:rsidRPr="277FC105">
        <w:rPr>
          <w:rFonts w:ascii="Acumin Pro" w:hAnsi="Acumin Pro" w:cs="Acumin Pro"/>
          <w:b/>
          <w:bCs/>
          <w:color w:val="231F20"/>
          <w:rtl/>
        </w:rPr>
        <w:t>قد يواجه الأشخاص مخاطر تختلف باختلاف البلد، مثل: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b/>
          <w:bCs/>
          <w:color w:val="231F20"/>
          <w:spacing w:val="-7"/>
          <w:w w:val="105"/>
          <w:rtl/>
        </w:rPr>
        <w:t>أن يتم استجوابهم بلا مبرر</w:t>
      </w:r>
      <w:r w:rsidRPr="277FC105">
        <w:rPr>
          <w:rFonts w:ascii="Acumin Pro" w:hAnsi="Acumin Pro" w:cs="Acumin Pro"/>
          <w:color w:val="231F20"/>
          <w:spacing w:val="-7"/>
          <w:w w:val="105"/>
          <w:rtl/>
        </w:rPr>
        <w:t xml:space="preserve"> من السلطات المحلية، مثل حول خططهم للسفر أو الأنشطة أو الاتصالات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b/>
          <w:bCs/>
          <w:color w:val="231F20"/>
          <w:spacing w:val="-7"/>
          <w:w w:val="105"/>
          <w:rtl/>
        </w:rPr>
        <w:t>رفضهم للدخول أو</w:t>
      </w:r>
      <w:r w:rsidRPr="277FC105">
        <w:rPr>
          <w:rFonts w:ascii="Acumin Pro" w:hAnsi="Acumin Pro" w:cs="Acumin Pro"/>
          <w:b/>
          <w:bCs/>
          <w:color w:val="231F20"/>
          <w:w w:val="105"/>
          <w:rtl/>
        </w:rPr>
        <w:t xml:space="preserve"> الخروج</w:t>
      </w:r>
      <w:r w:rsidRPr="277FC105">
        <w:rPr>
          <w:rFonts w:ascii="Acumin Pro" w:hAnsi="Acumin Pro" w:cs="Acumin Pro"/>
          <w:color w:val="231F20"/>
          <w:spacing w:val="-6"/>
          <w:w w:val="105"/>
          <w:rtl/>
        </w:rPr>
        <w:t>، مثل منعهم الصعود إلى الطائرات أو الدخول عند نقاط التفتيش الحدودية</w:t>
      </w:r>
    </w:p>
    <w:p w14:paraId="229436A1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b/>
          <w:bCs/>
          <w:color w:val="231F20"/>
          <w:w w:val="105"/>
          <w:rtl/>
        </w:rPr>
        <w:t xml:space="preserve"> فرض قيود على السفر</w:t>
      </w:r>
      <w:r w:rsidRPr="277FC105">
        <w:rPr>
          <w:rFonts w:ascii="Acumin Pro" w:hAnsi="Acumin Pro" w:cs="Acumin Pro"/>
          <w:b/>
          <w:bCs/>
          <w:color w:val="231F20"/>
          <w:spacing w:val="-3"/>
          <w:w w:val="105"/>
          <w:rtl/>
        </w:rPr>
        <w:t xml:space="preserve"> أو التأشيرات</w:t>
      </w:r>
      <w:r w:rsidRPr="277FC105">
        <w:rPr>
          <w:rFonts w:ascii="Acumin Pro" w:hAnsi="Acumin Pro" w:cs="Acumin Pro"/>
          <w:color w:val="231F20"/>
          <w:spacing w:val="-1"/>
          <w:w w:val="105"/>
          <w:rtl/>
        </w:rPr>
        <w:t>، بما في ذلك القيود المفروضة على التنقل داخل الدولة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>تفتيش أجهزتهم الإلكترونية</w:t>
      </w:r>
      <w:r w:rsidRPr="277FC105">
        <w:rPr>
          <w:rFonts w:ascii="Acumin Pro" w:hAnsi="Acumin Pro" w:cs="Acumin Pro"/>
          <w:color w:val="231F20"/>
          <w:spacing w:val="-4"/>
          <w:w w:val="105"/>
          <w:rtl/>
        </w:rPr>
        <w:t>، بما في ذلك الهواتف أو الحواسيب المحمولة أو غيرها من الأجهزة، مما قد ينطوي الأمر بالوصول إلى المعلومات أو الاتصالات الشخصية</w:t>
      </w:r>
    </w:p>
    <w:p w14:paraId="229436A3" w14:textId="2DFFFB28" w:rsid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 w:cs="Acumin Pro"/>
          <w:color w:val="231F20"/>
          <w:w w:val="110"/>
        </w:rPr>
      </w:pPr>
      <w:r w:rsidRPr="277FC105">
        <w:rPr>
          <w:rFonts w:ascii="Acumin Pro" w:hAnsi="Acumin Pro" w:cs="Acumin Pro"/>
          <w:b/>
          <w:bCs/>
          <w:color w:val="231F20"/>
          <w:rtl/>
        </w:rPr>
        <w:t>المراقبة المستهدفة، أو الاحتجاز، أو السجن بعد الوصول</w:t>
      </w:r>
      <w:r w:rsidRPr="004270DA">
        <w:rPr>
          <w:rFonts w:ascii="Acumin Pro" w:hAnsi="Acumin Pro" w:cs="Acumin Pro"/>
          <w:color w:val="231F20"/>
          <w:rtl/>
        </w:rPr>
        <w:t>،</w:t>
      </w:r>
      <w:r w:rsidRPr="277FC105">
        <w:rPr>
          <w:rFonts w:ascii="Acumin Pro" w:hAnsi="Acumin Pro" w:cs="Acumin Pro"/>
          <w:color w:val="231F20"/>
          <w:rtl/>
        </w:rPr>
        <w:t xml:space="preserve"> والتي قد تشمل</w:t>
      </w:r>
      <w:r w:rsidRPr="277FC105">
        <w:rPr>
          <w:rFonts w:ascii="Acumin Pro" w:hAnsi="Acumin Pro" w:cs="Acumin Pro"/>
          <w:color w:val="231F20"/>
          <w:spacing w:val="-3"/>
          <w:w w:val="110"/>
          <w:rtl/>
        </w:rPr>
        <w:t xml:space="preserve"> اتخاذ إجراءات قانونية</w:t>
      </w:r>
      <w:r w:rsidRPr="277FC105">
        <w:rPr>
          <w:rFonts w:ascii="Acumin Pro" w:hAnsi="Acumin Pro" w:cs="Acumin Pro"/>
          <w:color w:val="231F20"/>
          <w:rtl/>
        </w:rPr>
        <w:t xml:space="preserve"> رسمية</w:t>
      </w:r>
    </w:p>
    <w:p w14:paraId="5052F636" w14:textId="77777777" w:rsidR="004270DA" w:rsidRDefault="004270DA">
      <w:pPr>
        <w:rPr>
          <w:rFonts w:ascii="Acumin Pro" w:hAnsi="Acumin Pro" w:cs="Acumin Pro"/>
          <w:color w:val="231F20"/>
          <w:w w:val="110"/>
        </w:rPr>
      </w:pPr>
      <w:r>
        <w:rPr>
          <w:rFonts w:ascii="Acumin Pro" w:hAnsi="Acumin Pro" w:cs="Acumin Pro"/>
          <w:color w:val="231F20"/>
          <w:w w:val="110"/>
        </w:rPr>
        <w:br w:type="page"/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b/>
          <w:bCs/>
          <w:color w:val="231F20"/>
          <w:spacing w:val="2"/>
          <w:rtl/>
        </w:rPr>
        <w:lastRenderedPageBreak/>
        <w:t>التعرض للترهيب أو المضايقة</w:t>
      </w:r>
      <w:r w:rsidRPr="277FC105">
        <w:rPr>
          <w:rFonts w:ascii="Acumin Pro" w:hAnsi="Acumin Pro" w:cs="Acumin Pro"/>
          <w:b/>
          <w:bCs/>
          <w:color w:val="231F20"/>
          <w:spacing w:val="4"/>
          <w:rtl/>
        </w:rPr>
        <w:t xml:space="preserve"> أو التهديد</w:t>
      </w:r>
      <w:r w:rsidRPr="277FC105">
        <w:rPr>
          <w:rFonts w:ascii="Acumin Pro" w:hAnsi="Acumin Pro" w:cs="Acumin Pro"/>
          <w:color w:val="231F20"/>
          <w:spacing w:val="2"/>
          <w:rtl/>
        </w:rPr>
        <w:t xml:space="preserve"> من</w:t>
      </w:r>
      <w:r w:rsidRPr="277FC105">
        <w:rPr>
          <w:rFonts w:ascii="Acumin Pro" w:hAnsi="Acumin Pro" w:cs="Acumin Pro"/>
          <w:color w:val="231F20"/>
          <w:spacing w:val="-2"/>
          <w:rtl/>
        </w:rPr>
        <w:t xml:space="preserve"> السلطات</w:t>
      </w:r>
      <w:r w:rsidRPr="277FC105">
        <w:rPr>
          <w:rFonts w:ascii="Acumin Pro" w:hAnsi="Acumin Pro" w:cs="Acumin Pro"/>
          <w:color w:val="231F20"/>
          <w:spacing w:val="2"/>
          <w:rtl/>
        </w:rPr>
        <w:t xml:space="preserve"> المحلية</w:t>
      </w:r>
    </w:p>
    <w:p w14:paraId="169D5769" w14:textId="5ABF7858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 w:cs="Acumin Pro"/>
        </w:rPr>
      </w:pPr>
      <w:r w:rsidRPr="277FC105">
        <w:rPr>
          <w:rFonts w:ascii="Acumin Pro" w:hAnsi="Acumin Pro" w:cs="Acumin Pro"/>
          <w:b/>
          <w:bCs/>
          <w:color w:val="231F20"/>
          <w:rtl/>
        </w:rPr>
        <w:t>التعرض للاستجواب أو المضايقة أو الترهيب</w:t>
      </w:r>
      <w:r w:rsidRPr="277FC105">
        <w:rPr>
          <w:rFonts w:ascii="Acumin Pro" w:hAnsi="Acumin Pro" w:cs="Acumin Pro"/>
          <w:b/>
          <w:bCs/>
          <w:color w:val="231F20"/>
          <w:spacing w:val="4"/>
          <w:rtl/>
        </w:rPr>
        <w:t xml:space="preserve"> من الجماعات المحلية</w:t>
      </w:r>
      <w:r w:rsidRPr="00144994">
        <w:rPr>
          <w:rFonts w:ascii="Acumin Pro" w:hAnsi="Acumin Pro" w:cs="Acumin Pro"/>
          <w:color w:val="231F20"/>
          <w:rtl/>
        </w:rPr>
        <w:t>،</w:t>
      </w:r>
      <w:r w:rsidRPr="277FC105">
        <w:rPr>
          <w:rFonts w:ascii="Acumin Pro" w:hAnsi="Acumin Pro" w:cs="Acumin Pro"/>
          <w:color w:val="231F20"/>
          <w:rtl/>
        </w:rPr>
        <w:t xml:space="preserve"> ولا يقتصر الأمر فقط من</w:t>
      </w:r>
      <w:r w:rsidRPr="277FC105">
        <w:rPr>
          <w:rFonts w:ascii="Acumin Pro" w:hAnsi="Acumin Pro" w:cs="Acumin Pro"/>
          <w:color w:val="231F20"/>
          <w:spacing w:val="-5"/>
          <w:w w:val="108"/>
          <w:rtl/>
        </w:rPr>
        <w:t xml:space="preserve"> جهات إنفاذ القانون أو السلطات المعنية.</w:t>
      </w:r>
    </w:p>
    <w:p w14:paraId="2D2F1A0F" w14:textId="77777777" w:rsidR="000F1A92" w:rsidRPr="00AE43B7" w:rsidRDefault="000F1A92" w:rsidP="00E956A8">
      <w:pPr>
        <w:pStyle w:val="Heading2"/>
        <w:bidi/>
        <w:spacing w:before="360"/>
        <w:ind w:left="0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391335"/>
          <w:rtl/>
        </w:rPr>
        <w:t>المساعدة القنصلية النيوزيلندية</w:t>
      </w:r>
    </w:p>
    <w:p w14:paraId="03076CCC" w14:textId="77777777" w:rsidR="000F1A92" w:rsidRPr="00144994" w:rsidRDefault="000F1A92" w:rsidP="000364AB">
      <w:pPr>
        <w:pStyle w:val="BodyText"/>
        <w:bidi/>
        <w:spacing w:before="200" w:after="200" w:line="249" w:lineRule="auto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-3"/>
          <w:w w:val="104"/>
          <w:rtl/>
        </w:rPr>
        <w:t xml:space="preserve"> تقدم وزارة الخارجية والتجارة (</w:t>
      </w:r>
      <w:r w:rsidRPr="277FC105">
        <w:rPr>
          <w:rFonts w:ascii="Acumin Pro" w:hAnsi="Acumin Pro" w:cs="Acumin Pro"/>
          <w:color w:val="231F20"/>
          <w:spacing w:val="-3"/>
          <w:w w:val="104"/>
        </w:rPr>
        <w:t>MFAT</w:t>
      </w:r>
      <w:r w:rsidRPr="277FC105">
        <w:rPr>
          <w:rFonts w:ascii="Acumin Pro" w:hAnsi="Acumin Pro" w:cs="Acumin Pro"/>
          <w:color w:val="231F20"/>
          <w:spacing w:val="-3"/>
          <w:w w:val="104"/>
          <w:rtl/>
        </w:rPr>
        <w:t>) خدمات قنصلية للمواطنين النيوزيلنديين خارج نيوزيلندا، حتى لهؤلاء الذين لا يعيشون عادة في نيوزيلندا.</w:t>
      </w:r>
    </w:p>
    <w:p w14:paraId="54DA327A" w14:textId="77777777" w:rsidR="000F1A92" w:rsidRPr="00144994" w:rsidRDefault="000F1A92" w:rsidP="000364AB">
      <w:pPr>
        <w:pStyle w:val="BodyText"/>
        <w:bidi/>
        <w:spacing w:before="200" w:after="200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3"/>
          <w:rtl/>
        </w:rPr>
        <w:t>و بشكل عام لا تُقدم المساعدة القنصلية للمقيمين الدائمين في نيوزيلندا.</w:t>
      </w:r>
    </w:p>
    <w:p w14:paraId="1A83DD3B" w14:textId="34BC5703" w:rsidR="000F1A92" w:rsidRPr="00144994" w:rsidRDefault="000F1A92" w:rsidP="000364AB">
      <w:pPr>
        <w:pStyle w:val="BodyText"/>
        <w:bidi/>
        <w:spacing w:before="200" w:after="200" w:line="249" w:lineRule="auto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spacing w:val="-3"/>
          <w:w w:val="104"/>
          <w:rtl/>
        </w:rPr>
        <w:t>يخضع النيوزيلنديون في الخارج للقوانين المحلية لذلك البلد، بما في ذلك قوانينه المتعلقة بحكم الاحتجاز أو الملاحقة القضائية أو القيود المفروضة على السفر.</w:t>
      </w:r>
    </w:p>
    <w:p w14:paraId="34B471DC" w14:textId="77777777" w:rsidR="000F1A92" w:rsidRPr="00144994" w:rsidRDefault="000F1A92" w:rsidP="00E956A8">
      <w:pPr>
        <w:pStyle w:val="BodyText"/>
        <w:bidi/>
        <w:spacing w:before="360"/>
        <w:rPr>
          <w:rFonts w:ascii="Acumin Pro" w:hAnsi="Acumin Pro" w:cs="Acumin Pro"/>
          <w:b/>
          <w:bCs/>
        </w:rPr>
      </w:pPr>
      <w:r w:rsidRPr="277FC105">
        <w:rPr>
          <w:rFonts w:ascii="Acumin Pro" w:hAnsi="Acumin Pro" w:cs="Acumin Pro"/>
          <w:b/>
          <w:bCs/>
          <w:color w:val="231F20"/>
          <w:spacing w:val="-2"/>
          <w:w w:val="107"/>
          <w:rtl/>
        </w:rPr>
        <w:t>مواطنو الجنسيات المزدوجة</w:t>
      </w:r>
    </w:p>
    <w:p w14:paraId="25F65E43" w14:textId="77777777" w:rsidR="002D6D45" w:rsidRDefault="000F1A92" w:rsidP="000364AB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w w:val="105"/>
        </w:rPr>
      </w:pPr>
      <w:r w:rsidRPr="277FC105">
        <w:rPr>
          <w:rFonts w:ascii="Acumin Pro" w:hAnsi="Acumin Pro" w:cs="Acumin Pro"/>
          <w:color w:val="231F20"/>
          <w:spacing w:val="-5"/>
          <w:w w:val="104"/>
          <w:rtl/>
        </w:rPr>
        <w:t>قد يؤثر امتلاك جنسية مزدوجة على قدرة تقديم نيوزيلندا للمساعدة القنصلية. عندما يكون الشخص في بلد جنسيتة الأخرى، قد تعامل السلطات المحلية ذلك الشخص كمواطن فقط ولا يسمح حينها بتدخل نيوزيلندا.</w:t>
      </w:r>
    </w:p>
    <w:p w14:paraId="2CFAB287" w14:textId="778AF4F9" w:rsidR="000F1A92" w:rsidRPr="00F177A4" w:rsidRDefault="000F1A92" w:rsidP="000364AB">
      <w:pPr>
        <w:pStyle w:val="BodyText"/>
        <w:bidi/>
        <w:spacing w:before="200" w:after="200" w:line="249" w:lineRule="auto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rtl/>
        </w:rPr>
        <w:t xml:space="preserve">يمكنك العثور على مزيد من المعلومات حول السفر الآمن: </w:t>
      </w:r>
      <w:hyperlink r:id="rId7">
        <w:r w:rsidRPr="277FC105">
          <w:rPr>
            <w:rStyle w:val="Hyperlink"/>
            <w:rFonts w:ascii="Acumin Pro" w:hAnsi="Acumin Pro" w:cs="Acumin Pro"/>
          </w:rPr>
          <w:t>مواطنو الجنسيات المزدوجة والمقيمون الدائمون</w:t>
        </w:r>
      </w:hyperlink>
      <w:r w:rsidRPr="277FC105">
        <w:rPr>
          <w:rFonts w:ascii="Acumin Pro" w:hAnsi="Acumin Pro" w:cs="Acumin Pro"/>
          <w:color w:val="0000FF"/>
        </w:rPr>
        <w:t xml:space="preserve"> </w:t>
      </w:r>
    </w:p>
    <w:p w14:paraId="0F0C8816" w14:textId="77777777" w:rsidR="000F1A92" w:rsidRPr="00144994" w:rsidRDefault="000F1A92" w:rsidP="00E956A8">
      <w:pPr>
        <w:pStyle w:val="BodyText"/>
        <w:bidi/>
        <w:spacing w:before="360"/>
        <w:rPr>
          <w:rFonts w:ascii="Acumin Pro" w:hAnsi="Acumin Pro" w:cs="Acumin Pro"/>
          <w:b/>
          <w:bCs/>
        </w:rPr>
      </w:pPr>
      <w:r w:rsidRPr="277FC105">
        <w:rPr>
          <w:rFonts w:ascii="Acumin Pro" w:hAnsi="Acumin Pro" w:cs="Acumin Pro"/>
          <w:b/>
          <w:bCs/>
          <w:rtl/>
        </w:rPr>
        <w:t>اللاجئون واللاجئون السابقون</w:t>
      </w:r>
    </w:p>
    <w:p w14:paraId="6ECD5ED9" w14:textId="77777777" w:rsidR="000F1A92" w:rsidRPr="00144994" w:rsidRDefault="000F1A92" w:rsidP="000364AB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</w:rPr>
      </w:pPr>
      <w:r w:rsidRPr="277FC105">
        <w:rPr>
          <w:rFonts w:ascii="Acumin Pro" w:hAnsi="Acumin Pro" w:cs="Acumin Pro"/>
          <w:color w:val="231F20"/>
          <w:rtl/>
        </w:rPr>
        <w:t>إذا كنت لاجئاً خارج نيوزيلندا، فتوجد قيود كبيرة على الدعم الذي يمكن أن تقدمه لك حكومة نيوزيلندا.</w:t>
      </w:r>
    </w:p>
    <w:p w14:paraId="65A8D97F" w14:textId="438E59EC" w:rsidR="000F1A92" w:rsidRPr="00144994" w:rsidRDefault="000F1A92" w:rsidP="000364AB">
      <w:pPr>
        <w:pStyle w:val="BodyText"/>
        <w:bidi/>
        <w:spacing w:before="200" w:after="200" w:line="249" w:lineRule="auto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231F20"/>
          <w:rtl/>
        </w:rPr>
        <w:t xml:space="preserve">يمكنك العثور على مزيد من المعلومات حول السفر الآمن: </w:t>
      </w:r>
      <w:hyperlink r:id="rId8" w:history="1">
        <w:proofErr w:type="spellStart"/>
        <w:r w:rsidRPr="277FC105">
          <w:rPr>
            <w:rStyle w:val="Hyperlink"/>
            <w:rFonts w:ascii="Acumin Pro" w:hAnsi="Acumin Pro" w:cs="Acumin Pro"/>
            <w:spacing w:val="-2"/>
          </w:rPr>
          <w:t>اللاجئون</w:t>
        </w:r>
        <w:proofErr w:type="spellEnd"/>
        <w:r w:rsidRPr="277FC105">
          <w:rPr>
            <w:rStyle w:val="Hyperlink"/>
            <w:rFonts w:ascii="Acumin Pro" w:hAnsi="Acumin Pro" w:cs="Acumin Pro"/>
            <w:spacing w:val="-2"/>
          </w:rPr>
          <w:t xml:space="preserve"> </w:t>
        </w:r>
        <w:proofErr w:type="spellStart"/>
        <w:r w:rsidRPr="277FC105">
          <w:rPr>
            <w:rStyle w:val="Hyperlink"/>
            <w:rFonts w:ascii="Acumin Pro" w:hAnsi="Acumin Pro" w:cs="Acumin Pro"/>
            <w:spacing w:val="-2"/>
          </w:rPr>
          <w:t>واللاجئون</w:t>
        </w:r>
        <w:proofErr w:type="spellEnd"/>
        <w:r w:rsidRPr="277FC105">
          <w:rPr>
            <w:rStyle w:val="Hyperlink"/>
            <w:rFonts w:ascii="Acumin Pro" w:hAnsi="Acumin Pro" w:cs="Acumin Pro"/>
            <w:spacing w:val="-2"/>
          </w:rPr>
          <w:t xml:space="preserve"> </w:t>
        </w:r>
        <w:proofErr w:type="spellStart"/>
        <w:r w:rsidRPr="277FC105">
          <w:rPr>
            <w:rStyle w:val="Hyperlink"/>
            <w:rFonts w:ascii="Acumin Pro" w:hAnsi="Acumin Pro" w:cs="Acumin Pro"/>
            <w:spacing w:val="-2"/>
          </w:rPr>
          <w:t>السابقون</w:t>
        </w:r>
        <w:proofErr w:type="spellEnd"/>
      </w:hyperlink>
    </w:p>
    <w:p w14:paraId="19ACBA46" w14:textId="77777777" w:rsidR="000F1A92" w:rsidRPr="00AE43B7" w:rsidRDefault="000F1A92" w:rsidP="277FC105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</w:rPr>
      </w:pPr>
      <w:r w:rsidRPr="277FC105">
        <w:rPr>
          <w:rFonts w:ascii="Acumin Pro" w:hAnsi="Acumin Pro" w:cs="Acumin Pro"/>
          <w:color w:val="391335"/>
          <w:spacing w:val="-4"/>
          <w:rtl/>
        </w:rPr>
        <w:t xml:space="preserve">سفر آمن نيوزيلندا </w:t>
      </w:r>
      <w:r w:rsidRPr="277FC105">
        <w:rPr>
          <w:rFonts w:ascii="Acumin Pro" w:hAnsi="Acumin Pro" w:cs="Acumin Pro"/>
          <w:color w:val="391335"/>
          <w:spacing w:val="-4"/>
        </w:rPr>
        <w:t>SafeTravel NZ</w:t>
      </w:r>
    </w:p>
    <w:p w14:paraId="1272E0CE" w14:textId="20E3261F" w:rsidR="000F1A92" w:rsidRPr="00144994" w:rsidRDefault="000F1A92" w:rsidP="277FC105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 w:line="249" w:lineRule="auto"/>
        <w:rPr>
          <w:rFonts w:ascii="Acumin Pro" w:hAnsi="Acumin Pro" w:cs="Acumin Pro"/>
        </w:rPr>
      </w:pPr>
      <w:hyperlink r:id="rId9">
        <w:r w:rsidRPr="277FC105">
          <w:rPr>
            <w:rStyle w:val="Hyperlink"/>
            <w:rFonts w:ascii="Acumin Pro" w:hAnsi="Acumin Pro" w:cs="Acumin Pro"/>
          </w:rPr>
          <w:t>SafeTravel NZ</w:t>
        </w:r>
      </w:hyperlink>
      <w:r w:rsidRPr="277FC105">
        <w:rPr>
          <w:rFonts w:ascii="Acumin Pro" w:hAnsi="Acumin Pro" w:cs="Acumin Pro"/>
          <w:color w:val="231F20"/>
          <w:spacing w:val="-4"/>
          <w:w w:val="103"/>
          <w:rtl/>
        </w:rPr>
        <w:t xml:space="preserve"> هو الموقع الرسمي لوزارة الخارجية والتجارة </w:t>
      </w:r>
      <w:r w:rsidRPr="277FC105">
        <w:rPr>
          <w:rFonts w:ascii="Acumin Pro" w:hAnsi="Acumin Pro" w:cs="Acumin Pro"/>
          <w:color w:val="231F20"/>
          <w:spacing w:val="-4"/>
          <w:w w:val="103"/>
        </w:rPr>
        <w:t>MFAT</w:t>
      </w:r>
      <w:r w:rsidRPr="277FC105">
        <w:rPr>
          <w:rFonts w:ascii="Acumin Pro" w:hAnsi="Acumin Pro" w:cs="Acumin Pro"/>
          <w:color w:val="231F20"/>
          <w:spacing w:val="-4"/>
          <w:w w:val="103"/>
          <w:rtl/>
        </w:rPr>
        <w:t xml:space="preserve"> للنيوزيلنديين المسافرين أو المقيمين في الخارج، والذي من شأنه تقديم نصائح حول السفر والخدمات القنصلية ونصائح في الحفاظ على السلامة ونظام تسجيل للمسافرين إلى الخارج.</w:t>
      </w:r>
    </w:p>
    <w:p w14:paraId="745E1D48" w14:textId="453A2623" w:rsidR="00A22050" w:rsidRPr="00A22050" w:rsidRDefault="00651741" w:rsidP="277FC105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 w:line="249" w:lineRule="auto"/>
      </w:pPr>
      <w:r w:rsidRPr="277FC105">
        <w:rPr>
          <w:rFonts w:ascii="Acumin Pro" w:hAnsi="Acumin Pro" w:cs="Acumin Pro"/>
          <w:color w:val="231F20"/>
          <w:spacing w:val="-4"/>
          <w:w w:val="105"/>
          <w:rtl/>
        </w:rPr>
        <w:t xml:space="preserve">يجب على المسافرين </w:t>
      </w:r>
      <w:r w:rsidR="000F1A92" w:rsidRPr="277FC105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التسجيل لدى</w:t>
      </w:r>
      <w:r w:rsidR="000F1A92" w:rsidRPr="00144994">
        <w:rPr>
          <w:rFonts w:ascii="Acumin Pro" w:hAnsi="Acumin Pro" w:cs="Acumin Pro"/>
          <w:color w:val="231F20"/>
          <w:spacing w:val="-7"/>
          <w:w w:val="105"/>
          <w:rtl/>
        </w:rPr>
        <w:t xml:space="preserve"> </w:t>
      </w:r>
      <w:hyperlink r:id="rId10" w:history="1">
        <w:proofErr w:type="spellStart"/>
        <w:r w:rsidRPr="277FC105">
          <w:rPr>
            <w:rStyle w:val="Hyperlink"/>
            <w:rFonts w:ascii="Acumin Pro" w:hAnsi="Acumin Pro" w:cs="Acumin Pro"/>
            <w:spacing w:val="-5"/>
            <w:w w:val="105"/>
          </w:rPr>
          <w:t>SafeTravel</w:t>
        </w:r>
        <w:proofErr w:type="spellEnd"/>
        <w:r w:rsidRPr="277FC105">
          <w:rPr>
            <w:rStyle w:val="Hyperlink"/>
            <w:rFonts w:ascii="Acumin Pro" w:hAnsi="Acumin Pro" w:cs="Acumin Pro"/>
            <w:spacing w:val="-5"/>
            <w:w w:val="105"/>
          </w:rPr>
          <w:t xml:space="preserve"> New Zealand</w:t>
        </w:r>
      </w:hyperlink>
      <w:r w:rsidRPr="277FC105">
        <w:rPr>
          <w:rFonts w:ascii="Acumin Pro" w:hAnsi="Acumin Pro" w:cs="Acumin Pro"/>
          <w:color w:val="231F20"/>
          <w:spacing w:val="-5"/>
          <w:w w:val="105"/>
          <w:rtl/>
        </w:rPr>
        <w:t xml:space="preserve"> قبل السفر إلى الخارج. يساعد هذا وزارة الخارجية والتجارة على تقديم تحديثات في الوقت المناسب، والاتصال بالمسافرين عند الحاجة، وتقديم المساعدة حيثما أمكن ذلك.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894D3" w14:textId="77777777" w:rsidR="00CA7EAE" w:rsidRDefault="00CA7EAE">
      <w:r>
        <w:separator/>
      </w:r>
    </w:p>
  </w:endnote>
  <w:endnote w:type="continuationSeparator" w:id="0">
    <w:p w14:paraId="462D593B" w14:textId="77777777" w:rsidR="00CA7EAE" w:rsidRDefault="00CA7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5E1B3AD1" w:rsidR="008F361B" w:rsidRPr="00216311" w:rsidRDefault="277FC105" w:rsidP="277FC105">
    <w:pPr>
      <w:bidi/>
      <w:spacing w:before="22"/>
      <w:rPr>
        <w:rFonts w:ascii="Acumin Pro" w:hAnsi="Acumin Pro" w:cs="Acumin Pro"/>
        <w:b/>
        <w:bCs/>
        <w:sz w:val="20"/>
        <w:szCs w:val="20"/>
      </w:rPr>
    </w:pPr>
    <w:r w:rsidRPr="277FC105">
      <w:rPr>
        <w:rFonts w:ascii="Acumin Pro" w:hAnsi="Acumin Pro" w:cs="Acumin Pro"/>
        <w:b/>
        <w:bCs/>
        <w:color w:val="391335"/>
        <w:sz w:val="20"/>
        <w:szCs w:val="20"/>
        <w:rtl/>
      </w:rPr>
      <w:t xml:space="preserve"> </w:t>
    </w:r>
    <w:r w:rsidRPr="277FC105">
      <w:rPr>
        <w:rFonts w:ascii="Acumin Pro" w:hAnsi="Acumin Pro" w:cs="Acumin Pro"/>
        <w:b/>
        <w:bCs/>
        <w:color w:val="391335"/>
        <w:sz w:val="20"/>
        <w:szCs w:val="20"/>
        <w:rtl/>
      </w:rPr>
      <w:t xml:space="preserve">السفر إلى الخارج والتدخل الأجنبي </w:t>
    </w:r>
    <w:r w:rsidR="00EA4802">
      <w:tab/>
    </w:r>
    <w:r w:rsidR="00EA4802">
      <w:tab/>
    </w:r>
    <w:r w:rsidR="00EA4802">
      <w:tab/>
    </w:r>
    <w:r w:rsidR="00EA4802">
      <w:tab/>
    </w:r>
    <w:r w:rsidR="00EA4802">
      <w:tab/>
    </w:r>
    <w:r w:rsidR="00EA4802">
      <w:tab/>
    </w:r>
    <w:r w:rsidR="00EA4802">
      <w:tab/>
    </w:r>
    <w:sdt>
      <w:sdtPr>
        <w:rPr>
          <w:rFonts w:ascii="Acumin Pro" w:hAnsi="Acumin Pro" w:cs="Acumin Pro"/>
          <w:sz w:val="20"/>
          <w:szCs w:val="20"/>
          <w:rtl/>
        </w:rPr>
        <w:id w:val="-1110124414"/>
        <w:docPartObj>
          <w:docPartGallery w:val="Page Numbers (Bottom of Page)"/>
          <w:docPartUnique/>
        </w:docPartObj>
      </w:sdtPr>
      <w:sdtEndPr/>
      <w:sdtContent>
        <w:r w:rsidR="00EA4802">
          <w:tab/>
        </w:r>
        <w:r w:rsidR="00EA4802">
          <w:tab/>
        </w:r>
        <w:r w:rsidR="00EA4802" w:rsidRPr="277FC105">
          <w:rPr>
            <w:rFonts w:ascii="Acumin Pro" w:hAnsi="Acumin Pro" w:cs="Acumin Pro"/>
            <w:sz w:val="20"/>
            <w:szCs w:val="20"/>
          </w:rPr>
          <w:fldChar w:fldCharType="begin"/>
        </w:r>
        <w:r w:rsidR="00EA4802" w:rsidRPr="277FC105">
          <w:rPr>
            <w:rFonts w:ascii="Acumin Pro" w:hAnsi="Acumin Pro" w:cs="Acumin Pro"/>
            <w:sz w:val="20"/>
            <w:szCs w:val="20"/>
          </w:rPr>
          <w:instrText xml:space="preserve"> PAGE   \* MERGEFORMAT </w:instrText>
        </w:r>
        <w:r w:rsidR="00EA4802" w:rsidRPr="277FC105">
          <w:rPr>
            <w:rFonts w:ascii="Acumin Pro" w:hAnsi="Acumin Pro" w:cs="Acumin Pro"/>
            <w:sz w:val="20"/>
            <w:szCs w:val="20"/>
          </w:rPr>
          <w:fldChar w:fldCharType="separate"/>
        </w:r>
        <w:r w:rsidRPr="277FC105">
          <w:rPr>
            <w:rFonts w:ascii="Acumin Pro" w:hAnsi="Acumin Pro" w:cs="Acumin Pro"/>
            <w:sz w:val="20"/>
            <w:szCs w:val="20"/>
          </w:rPr>
          <w:t>3</w:t>
        </w:r>
        <w:r w:rsidR="00EA4802" w:rsidRPr="277FC105">
          <w:rPr>
            <w:rFonts w:ascii="Acumin Pro" w:hAnsi="Acumin Pro" w:cs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5F825" w14:textId="77777777" w:rsidR="00CA7EAE" w:rsidRDefault="00CA7EAE">
      <w:r>
        <w:separator/>
      </w:r>
    </w:p>
  </w:footnote>
  <w:footnote w:type="continuationSeparator" w:id="0">
    <w:p w14:paraId="00B1694D" w14:textId="77777777" w:rsidR="00CA7EAE" w:rsidRDefault="00CA7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en-US" w:eastAsia="en-US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en-US" w:eastAsia="en-US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en-US" w:eastAsia="en-US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en-US" w:eastAsia="en-US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en-US" w:eastAsia="en-US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en-US" w:eastAsia="en-US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en-US" w:eastAsia="en-US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en-US" w:eastAsia="en-US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A689A"/>
    <w:rsid w:val="003B0D39"/>
    <w:rsid w:val="003B3FF4"/>
    <w:rsid w:val="003C1693"/>
    <w:rsid w:val="003C20A9"/>
    <w:rsid w:val="003D1DC0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83B53"/>
    <w:rsid w:val="00887BA6"/>
    <w:rsid w:val="00887C79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4557D"/>
    <w:rsid w:val="00C55FAC"/>
    <w:rsid w:val="00C61085"/>
    <w:rsid w:val="00C6498F"/>
    <w:rsid w:val="00C727E3"/>
    <w:rsid w:val="00C87895"/>
    <w:rsid w:val="00C9262E"/>
    <w:rsid w:val="00C96073"/>
    <w:rsid w:val="00C966DB"/>
    <w:rsid w:val="00CA3901"/>
    <w:rsid w:val="00CA7EAE"/>
    <w:rsid w:val="00CB0646"/>
    <w:rsid w:val="00CB1968"/>
    <w:rsid w:val="00CB3198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E16713"/>
    <w:rsid w:val="00E337DE"/>
    <w:rsid w:val="00E34334"/>
    <w:rsid w:val="00E4555C"/>
    <w:rsid w:val="00E45C92"/>
    <w:rsid w:val="00E64873"/>
    <w:rsid w:val="00E71845"/>
    <w:rsid w:val="00E82969"/>
    <w:rsid w:val="00E87F88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  <w:rsid w:val="277FC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CRFIWEBSITE-145050222-36</_dlc_DocId>
    <_dlc_DocIdUrl xmlns="c78cdbf8-4243-4362-8765-2acd0e03065b">
      <Url>https://azurediagovt.sharepoint.com/sites/EXT-CommunityResiliencetoForeignInterferencewebsite_MEC/_layouts/15/DocIdRedir.aspx?ID=CRFIWEBSITE-145050222-36</Url>
      <Description>CRFIWEBSITE-145050222-36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A5E9204A-89A0-4879-86FD-F3968F0EBBDE}"/>
</file>

<file path=customXml/itemProps2.xml><?xml version="1.0" encoding="utf-8"?>
<ds:datastoreItem xmlns:ds="http://schemas.openxmlformats.org/officeDocument/2006/customXml" ds:itemID="{1991C7CE-3E4B-4C65-9D9D-12E4E54E08CD}"/>
</file>

<file path=customXml/itemProps3.xml><?xml version="1.0" encoding="utf-8"?>
<ds:datastoreItem xmlns:ds="http://schemas.openxmlformats.org/officeDocument/2006/customXml" ds:itemID="{28783051-20CD-48C1-B58F-186E42049200}"/>
</file>

<file path=customXml/itemProps4.xml><?xml version="1.0" encoding="utf-8"?>
<ds:datastoreItem xmlns:ds="http://schemas.openxmlformats.org/officeDocument/2006/customXml" ds:itemID="{0D836F31-776D-4264-AA55-46154CD167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2826</Characters>
  <Application>Microsoft Office Word</Application>
  <DocSecurity>2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2026-07-30T00:14:00Z</dcterms:created>
  <dcterms:modified xsi:type="dcterms:W3CDTF">2026-07-30T00:19:00Z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818500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a5062fdf-b981-4130-a5c5-cc058322cb68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