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ind w:left="0"/>
        <w:rPr>
          <w:rFonts w:ascii="Acumin Pro" w:hAnsi="Acumin Pro"/>
          <w:color w:val="391335"/>
        </w:rPr>
      </w:pPr>
      <w:r>
        <w:rPr>
          <w:rFonts w:ascii="Acumin Pro" w:hAnsi="Acumin Pro"/>
          <w:color w:val="391335"/>
        </w:rPr>
        <w:t>Aide et</w:t>
      </w:r>
      <w:r>
        <w:rPr>
          <w:rFonts w:ascii="Acumin Pro" w:hAnsi="Acumin Pro"/>
          <w:color w:val="391335"/>
          <w:spacing w:val="-2"/>
        </w:rPr>
        <w:t xml:space="preserve"> conseils</w:t>
      </w:r>
      <w:r>
        <w:rPr>
          <w:rFonts w:ascii="Acumin Pro" w:hAnsi="Acumin Pro"/>
          <w:color w:val="391335"/>
        </w:rPr>
        <w:t xml:space="preserve"> juridiques</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D52DBD">
        <w:rPr>
          <w:rFonts w:ascii="Acumin Pro" w:hAnsi="Acumin Pro"/>
          <w:b/>
        </w:rPr>
        <w:t>Remarque</w:t>
      </w:r>
      <w:r>
        <w:rPr>
          <w:rFonts w:ascii="Acumin Pro" w:hAnsi="Acumin Pro"/>
        </w:rPr>
        <w:t xml:space="preserve"> : ces informations sont d'ordre général. Elles sont fournies uniquement à titre d'information et ne constituent pas des conseils juridiques. </w:t>
      </w:r>
      <w:r w:rsidR="00DB2A69" w:rsidRPr="00D52DBD">
        <w:rPr>
          <w:rFonts w:ascii="Acumin Pro" w:hAnsi="Acumin Pro"/>
        </w:rPr>
        <w:br/>
      </w:r>
      <w:r>
        <w:rPr>
          <w:rFonts w:ascii="Acumin Pro" w:hAnsi="Acumin Pro"/>
        </w:rPr>
        <w:t>Pour des conseils juridiques spécifiques, adressez-vous à un professionnel.</w:t>
      </w:r>
    </w:p>
    <w:p w14:paraId="4AA8BA91" w14:textId="1F439237" w:rsidR="00B814A3" w:rsidRPr="00B950DF" w:rsidRDefault="005203C9" w:rsidP="00DD4A05">
      <w:pPr>
        <w:pStyle w:val="BodyText"/>
        <w:spacing w:before="200" w:after="200" w:line="249" w:lineRule="auto"/>
        <w:rPr>
          <w:rFonts w:ascii="Acumin Pro" w:hAnsi="Acumin Pro"/>
          <w:color w:val="231F20"/>
        </w:rPr>
      </w:pPr>
      <w:r>
        <w:rPr>
          <w:rFonts w:ascii="Acumin Pro" w:hAnsi="Acumin Pro"/>
          <w:color w:val="231F20"/>
        </w:rPr>
        <w:t>Si une personne subit une ingérence étrangère, le recours à une aide et des conseils juridiques peut l’aider à comprendre ses droits et les options disponibles.</w:t>
      </w:r>
    </w:p>
    <w:p w14:paraId="60CD836C" w14:textId="77777777" w:rsidR="00D43421" w:rsidRPr="00B5655B" w:rsidRDefault="005203C9" w:rsidP="007D1386">
      <w:pPr>
        <w:pStyle w:val="Heading2"/>
        <w:spacing w:before="360"/>
        <w:ind w:left="0"/>
        <w:rPr>
          <w:rFonts w:ascii="Acumin Pro" w:hAnsi="Acumin Pro"/>
        </w:rPr>
      </w:pPr>
      <w:r>
        <w:rPr>
          <w:rFonts w:ascii="Acumin Pro" w:hAnsi="Acumin Pro"/>
          <w:color w:val="391335"/>
        </w:rPr>
        <w:t>Vos droits en</w:t>
      </w:r>
      <w:r>
        <w:rPr>
          <w:rFonts w:ascii="Acumin Pro" w:hAnsi="Acumin Pro"/>
          <w:color w:val="391335"/>
          <w:spacing w:val="-9"/>
        </w:rPr>
        <w:t xml:space="preserve"> Nouvelle-Zélande</w:t>
      </w:r>
    </w:p>
    <w:p w14:paraId="4737BA26" w14:textId="4376D1AC" w:rsidR="00D43421" w:rsidRPr="008A7C81" w:rsidRDefault="008A7C81" w:rsidP="0099726C">
      <w:pPr>
        <w:pStyle w:val="BodyText"/>
        <w:spacing w:before="200" w:after="200"/>
        <w:rPr>
          <w:rStyle w:val="Hyperlink"/>
          <w:rFonts w:ascii="Acumin Pro" w:hAnsi="Acumin Pro"/>
        </w:rPr>
      </w:pPr>
      <w:r>
        <w:rPr>
          <w:rFonts w:ascii="Acumin Pro" w:hAnsi="Acumin Pro"/>
        </w:rPr>
        <w:fldChar w:fldCharType="begin"/>
      </w:r>
      <w:r>
        <w:rPr>
          <w:rFonts w:ascii="Acumin Pro" w:hAnsi="Acumin Pro"/>
        </w:rPr>
        <w:instrText>HYPERLINK "https://www.crfi.govt.nz/recognise/rights-nz"</w:instrText>
      </w:r>
      <w:r>
        <w:rPr>
          <w:rFonts w:ascii="Acumin Pro" w:hAnsi="Acumin Pro"/>
        </w:rPr>
      </w:r>
      <w:r>
        <w:rPr>
          <w:rFonts w:ascii="Acumin Pro" w:hAnsi="Acumin Pro"/>
        </w:rPr>
        <w:fldChar w:fldCharType="separate"/>
      </w:r>
      <w:r w:rsidR="005203C9" w:rsidRPr="008A7C81">
        <w:rPr>
          <w:rStyle w:val="Hyperlink"/>
          <w:rFonts w:ascii="Acumin Pro" w:hAnsi="Acumin Pro"/>
        </w:rPr>
        <w:t>Vos droits en Nouvelle-Zélande sont expliqués ici</w:t>
      </w:r>
    </w:p>
    <w:p w14:paraId="069434BF" w14:textId="178C1D2B" w:rsidR="00D43421" w:rsidRPr="00B5655B" w:rsidRDefault="008A7C81" w:rsidP="007D1386">
      <w:pPr>
        <w:pStyle w:val="Heading2"/>
        <w:tabs>
          <w:tab w:val="left" w:pos="8613"/>
        </w:tabs>
        <w:spacing w:before="360"/>
        <w:ind w:left="0"/>
        <w:rPr>
          <w:rFonts w:ascii="Acumin Pro" w:hAnsi="Acumin Pro"/>
          <w:color w:val="391335"/>
        </w:rPr>
      </w:pPr>
      <w:r>
        <w:rPr>
          <w:rFonts w:ascii="Acumin Pro" w:eastAsia="Calibri" w:hAnsi="Acumin Pro" w:cs="Calibri"/>
          <w:b w:val="0"/>
          <w:bCs w:val="0"/>
          <w:sz w:val="22"/>
          <w:szCs w:val="22"/>
        </w:rPr>
        <w:fldChar w:fldCharType="end"/>
      </w:r>
      <w:r w:rsidR="005203C9">
        <w:rPr>
          <w:rFonts w:ascii="Acumin Pro" w:hAnsi="Acumin Pro"/>
          <w:color w:val="391335"/>
        </w:rPr>
        <w:t>Où trouver une aide juridique</w:t>
      </w:r>
    </w:p>
    <w:p w14:paraId="7EB83A88" w14:textId="77777777" w:rsidR="00D43421" w:rsidRPr="00B5655B" w:rsidRDefault="005203C9" w:rsidP="007D1386">
      <w:pPr>
        <w:pStyle w:val="BodyText"/>
        <w:spacing w:before="360"/>
        <w:rPr>
          <w:rFonts w:ascii="Acumin Pro" w:hAnsi="Acumin Pro"/>
          <w:b/>
          <w:bCs/>
        </w:rPr>
      </w:pPr>
      <w:r>
        <w:rPr>
          <w:rFonts w:ascii="Acumin Pro" w:hAnsi="Acumin Pro"/>
          <w:b/>
          <w:color w:val="231F20"/>
          <w:spacing w:val="-2"/>
          <w:w w:val="107"/>
        </w:rPr>
        <w:t>Community Law (Aide juridique pour la communauté )</w:t>
      </w:r>
    </w:p>
    <w:p w14:paraId="7CAA679E" w14:textId="59DE6B98" w:rsidR="00D43421" w:rsidRPr="00B5655B" w:rsidRDefault="005203C9" w:rsidP="009C3E46">
      <w:pPr>
        <w:pStyle w:val="BodyText"/>
        <w:spacing w:before="200" w:after="200" w:line="249" w:lineRule="auto"/>
        <w:rPr>
          <w:rFonts w:ascii="Acumin Pro" w:hAnsi="Acumin Pro"/>
          <w:color w:val="231F20"/>
        </w:rPr>
      </w:pPr>
      <w:r>
        <w:rPr>
          <w:rFonts w:ascii="Acumin Pro" w:hAnsi="Acumin Pro"/>
          <w:color w:val="231F20"/>
        </w:rPr>
        <w:t>Les Community Law Centres (centres d'aide juridique pour la communauté) sont là pour :</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hAnsi="Acumin Pro"/>
        </w:rPr>
      </w:pPr>
      <w:r>
        <w:rPr>
          <w:rFonts w:ascii="Acumin Pro" w:hAnsi="Acumin Pro"/>
          <w:color w:val="231F20"/>
          <w:spacing w:val="4"/>
        </w:rPr>
        <w:t>fournir des informations et des explications juridiques ;</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hAnsi="Acumin Pro"/>
          <w:color w:val="231F20"/>
        </w:rPr>
      </w:pPr>
      <w:r>
        <w:rPr>
          <w:rFonts w:ascii="Acumin Pro" w:hAnsi="Acumin Pro"/>
          <w:color w:val="231F20"/>
        </w:rPr>
        <w:t>fournir des conseils, une assistance et une représentation juridique en particulier aux personnes qui n'ont pas les moyens financiers nécessaires.</w:t>
      </w:r>
    </w:p>
    <w:p w14:paraId="2A8C9443" w14:textId="5EBBDF3E" w:rsidR="00D43421" w:rsidRDefault="005203C9" w:rsidP="009C3E46">
      <w:pPr>
        <w:pStyle w:val="BodyText"/>
        <w:spacing w:before="200" w:after="200" w:line="249" w:lineRule="auto"/>
        <w:rPr>
          <w:rFonts w:ascii="Acumin Pro" w:hAnsi="Acumin Pro"/>
          <w:color w:val="231F20"/>
        </w:rPr>
      </w:pPr>
      <w:r>
        <w:rPr>
          <w:rFonts w:ascii="Acumin Pro" w:hAnsi="Acumin Pro"/>
          <w:color w:val="231F20"/>
        </w:rPr>
        <w:t>Il y a 24 Community Law Centres en Nouvelle-Zélande. La plupart de ces centres offrent des services de proximité ou des ateliers pour les minorités. Contactez directement votre centre local pour prendre rendez-vous.</w:t>
      </w:r>
    </w:p>
    <w:p w14:paraId="634FDA00" w14:textId="77777777" w:rsidR="009C3E46" w:rsidRDefault="005203C9" w:rsidP="0084388A">
      <w:pPr>
        <w:pStyle w:val="BodyText"/>
        <w:spacing w:before="200" w:after="200"/>
      </w:pPr>
      <w:hyperlink r:id="rId12" w:history="1">
        <w:r>
          <w:rPr>
            <w:rStyle w:val="Hyperlink"/>
            <w:rFonts w:ascii="Acumin Pro" w:hAnsi="Acumin Pro"/>
            <w:spacing w:val="-1"/>
          </w:rPr>
          <w:t>Allez sur le site Internet Community Law pour plus de renseignements</w:t>
        </w:r>
      </w:hyperlink>
    </w:p>
    <w:p w14:paraId="57E05D0C" w14:textId="096B2BD6" w:rsidR="00D43421" w:rsidRPr="00B5655B" w:rsidRDefault="005203C9" w:rsidP="007D1386">
      <w:pPr>
        <w:pStyle w:val="BodyText"/>
        <w:spacing w:before="360"/>
        <w:rPr>
          <w:rFonts w:ascii="Acumin Pro" w:hAnsi="Acumin Pro"/>
          <w:b/>
          <w:bCs/>
        </w:rPr>
      </w:pPr>
      <w:r>
        <w:rPr>
          <w:rFonts w:ascii="Acumin Pro" w:hAnsi="Acumin Pro"/>
          <w:b/>
          <w:color w:val="231F20"/>
          <w:spacing w:val="-4"/>
          <w:w w:val="107"/>
        </w:rPr>
        <w:t>Youth Law (droit de la jeunesse)</w:t>
      </w:r>
    </w:p>
    <w:p w14:paraId="1FD67D9E" w14:textId="77777777" w:rsidR="00FE74D1" w:rsidRDefault="005203C9" w:rsidP="00FE74D1">
      <w:pPr>
        <w:pStyle w:val="BodyText"/>
        <w:spacing w:before="200" w:after="200" w:line="249" w:lineRule="auto"/>
        <w:rPr>
          <w:rFonts w:ascii="Acumin Pro" w:hAnsi="Acumin Pro"/>
          <w:color w:val="231F20"/>
        </w:rPr>
      </w:pPr>
      <w:r>
        <w:rPr>
          <w:rFonts w:ascii="Acumin Pro" w:hAnsi="Acumin Pro"/>
          <w:color w:val="231F20"/>
        </w:rPr>
        <w:t xml:space="preserve">Youth Law offre des services juridiques gratuits aux enfants et aux jeunes de moins de 25 ans. </w:t>
      </w:r>
    </w:p>
    <w:p w14:paraId="555E75A4" w14:textId="2156F3DF" w:rsidR="00D43421" w:rsidRPr="00B5655B" w:rsidRDefault="005203C9" w:rsidP="00FE74D1">
      <w:pPr>
        <w:pStyle w:val="BodyText"/>
        <w:spacing w:before="200" w:after="200" w:line="249" w:lineRule="auto"/>
        <w:rPr>
          <w:rFonts w:ascii="Acumin Pro" w:hAnsi="Acumin Pro"/>
        </w:rPr>
      </w:pPr>
      <w:hyperlink r:id="rId13" w:history="1">
        <w:r>
          <w:rPr>
            <w:rStyle w:val="Hyperlink"/>
            <w:rFonts w:ascii="Acumin Pro" w:hAnsi="Acumin Pro"/>
          </w:rPr>
          <w:t>Allez sur le site Internet Youth Law pour plus de renseignements</w:t>
        </w:r>
      </w:hyperlink>
    </w:p>
    <w:p w14:paraId="16C71584" w14:textId="5F18CBF9" w:rsidR="00D43421" w:rsidRPr="00613A51" w:rsidRDefault="005203C9" w:rsidP="00613A51">
      <w:pPr>
        <w:pStyle w:val="BodyText"/>
        <w:spacing w:before="360"/>
        <w:rPr>
          <w:rFonts w:ascii="Acumin Pro" w:hAnsi="Acumin Pro"/>
          <w:b/>
          <w:bCs/>
          <w:color w:val="231F20"/>
          <w:spacing w:val="4"/>
        </w:rPr>
      </w:pPr>
      <w:r>
        <w:rPr>
          <w:rFonts w:ascii="Acumin Pro" w:hAnsi="Acumin Pro"/>
          <w:b/>
          <w:color w:val="231F20"/>
          <w:spacing w:val="8"/>
        </w:rPr>
        <w:t>Citizens Advice Bureau</w:t>
      </w:r>
    </w:p>
    <w:p w14:paraId="6E913108" w14:textId="77777777" w:rsidR="00D43421" w:rsidRPr="00B5655B" w:rsidRDefault="005203C9" w:rsidP="00781E55">
      <w:pPr>
        <w:pStyle w:val="BodyText"/>
        <w:spacing w:before="200" w:after="200"/>
        <w:rPr>
          <w:rFonts w:ascii="Acumin Pro" w:hAnsi="Acumin Pro"/>
          <w:color w:val="231F20"/>
        </w:rPr>
      </w:pPr>
      <w:r>
        <w:rPr>
          <w:rFonts w:ascii="Acumin Pro" w:hAnsi="Acumin Pro"/>
          <w:color w:val="231F20"/>
        </w:rPr>
        <w:t>Le Citizens Advice Bureau est une organisation qui :</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vous informe sur vos droits ;</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fournit des informations et conseils gratuits, confidentiels et indépendants ;</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peut vous orienter vers votre Community Law Centre local pour une aide juridique ;</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lastRenderedPageBreak/>
        <w:t>fournit des informations pour accéder aux services dont vous avez besoin.</w:t>
      </w:r>
    </w:p>
    <w:p w14:paraId="6120E314" w14:textId="028171A9" w:rsidR="00D43421" w:rsidRPr="00B5655B" w:rsidRDefault="005203C9" w:rsidP="00781E55">
      <w:pPr>
        <w:pStyle w:val="BodyText"/>
        <w:spacing w:before="200" w:after="200" w:line="249" w:lineRule="auto"/>
        <w:rPr>
          <w:rFonts w:ascii="Acumin Pro" w:hAnsi="Acumin Pro"/>
          <w:color w:val="231F20"/>
        </w:rPr>
      </w:pPr>
      <w:hyperlink r:id="rId14" w:history="1">
        <w:r>
          <w:rPr>
            <w:rStyle w:val="Hyperlink"/>
            <w:rFonts w:ascii="Acumin Pro" w:hAnsi="Acumin Pro"/>
          </w:rPr>
          <w:t>Consultez le site Internet du Citizens Advice Bureau pour plus d’informations</w:t>
        </w:r>
      </w:hyperlink>
      <w:r>
        <w:rPr>
          <w:rFonts w:ascii="Acumin Pro" w:hAnsi="Acumin Pro"/>
          <w:color w:val="231F20"/>
        </w:rPr>
        <w:t>, ou appelez-les gratuitement au 0800 367 222 pour une aide confidentielle.</w:t>
      </w:r>
    </w:p>
    <w:p w14:paraId="74602358" w14:textId="6A043A37" w:rsidR="00D43421" w:rsidRPr="00206BA8" w:rsidRDefault="005203C9" w:rsidP="007D1386">
      <w:pPr>
        <w:pStyle w:val="BodyText"/>
        <w:spacing w:before="360"/>
        <w:rPr>
          <w:rFonts w:ascii="Acumin Pro" w:hAnsi="Acumin Pro"/>
          <w:b/>
          <w:color w:val="231F20"/>
          <w:spacing w:val="4"/>
        </w:rPr>
      </w:pPr>
      <w:r>
        <w:rPr>
          <w:rFonts w:ascii="Acumin Pro" w:hAnsi="Acumin Pro"/>
          <w:b/>
          <w:color w:val="231F20"/>
          <w:spacing w:val="4"/>
        </w:rPr>
        <w:t>Legal Aid (Aide juridique)</w:t>
      </w:r>
    </w:p>
    <w:p w14:paraId="1E5A3556"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Legal Aid est un financement public pour les personnes qui n'ont pas les moyens de payer un avocat. Ce mécanisme permet aux personnes n'ayant pas les moyens de payer un avocat d'obtenir une aide juridique et de résoudre les problèmes susceptibles de faire l'objet d'une procédure judiciaire.</w:t>
      </w:r>
    </w:p>
    <w:p w14:paraId="0FAD5B2B" w14:textId="666988F6" w:rsidR="00781E55" w:rsidRDefault="005203C9" w:rsidP="00781E55">
      <w:pPr>
        <w:pStyle w:val="BodyText"/>
        <w:spacing w:before="200" w:after="200"/>
      </w:pPr>
      <w:hyperlink r:id="rId15" w:history="1">
        <w:r>
          <w:rPr>
            <w:rStyle w:val="Hyperlink"/>
            <w:rFonts w:ascii="Acumin Pro" w:hAnsi="Acumin Pro"/>
          </w:rPr>
          <w:t>Des informations supplémentaires sur l'aide juridique sont disponibles ici</w:t>
        </w:r>
      </w:hyperlink>
    </w:p>
    <w:p w14:paraId="6069164A" w14:textId="365901F8" w:rsidR="00D43421" w:rsidRPr="00206BA8" w:rsidRDefault="005203C9" w:rsidP="0084388A">
      <w:pPr>
        <w:pStyle w:val="BodyText"/>
        <w:spacing w:before="360"/>
        <w:rPr>
          <w:rFonts w:ascii="Acumin Pro" w:hAnsi="Acumin Pro"/>
          <w:b/>
          <w:color w:val="231F20"/>
          <w:spacing w:val="4"/>
        </w:rPr>
      </w:pPr>
      <w:r>
        <w:rPr>
          <w:rFonts w:ascii="Acumin Pro" w:hAnsi="Acumin Pro"/>
          <w:b/>
          <w:color w:val="231F20"/>
          <w:spacing w:val="4"/>
        </w:rPr>
        <w:t>New Zealand Law Society</w:t>
      </w:r>
    </w:p>
    <w:p w14:paraId="4BB74D95"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 xml:space="preserve">La New Zealand Law Society est l'organisme qui régit la profession d'avocat en Nouvelle-Zélande. Chacun peut consulter son annuaire en ligne pour trouver un avocat. L'annuaire répertorie les avocats autorisés à exercer en Nouvelle-Zélande. </w:t>
      </w:r>
    </w:p>
    <w:p w14:paraId="3A88F936" w14:textId="7EC0F656" w:rsidR="00D43421" w:rsidRPr="000011DE" w:rsidRDefault="005203C9" w:rsidP="00781E55">
      <w:pPr>
        <w:pStyle w:val="BodyText"/>
        <w:spacing w:before="200" w:after="200"/>
        <w:rPr>
          <w:rStyle w:val="Hyperlink"/>
        </w:rPr>
      </w:pPr>
      <w:hyperlink r:id="rId16" w:history="1">
        <w:r>
          <w:rPr>
            <w:rStyle w:val="Hyperlink"/>
            <w:rFonts w:ascii="Acumin Pro" w:hAnsi="Acumin Pro"/>
          </w:rPr>
          <w:t>Aller sur le site Internet de la New Zealand Law Society</w:t>
        </w:r>
      </w:hyperlink>
    </w:p>
    <w:sectPr w:rsidR="00D43421" w:rsidRPr="000011DE" w:rsidSect="00DD4A05">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50BD" w14:textId="77777777" w:rsidR="00FA5C87" w:rsidRDefault="00FA5C87">
      <w:r>
        <w:separator/>
      </w:r>
    </w:p>
  </w:endnote>
  <w:endnote w:type="continuationSeparator" w:id="0">
    <w:p w14:paraId="7A787306" w14:textId="77777777" w:rsidR="00FA5C87" w:rsidRDefault="00FA5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52A90308" w:rsidR="00CB2BD2" w:rsidRPr="00216311" w:rsidRDefault="00216311" w:rsidP="00216311">
    <w:pPr>
      <w:spacing w:before="22"/>
      <w:rPr>
        <w:rFonts w:ascii="Acumin Pro" w:hAnsi="Acumin Pro"/>
        <w:b/>
        <w:sz w:val="20"/>
        <w:szCs w:val="20"/>
      </w:rPr>
    </w:pPr>
    <w:r>
      <w:rPr>
        <w:rFonts w:ascii="Acumin Pro" w:hAnsi="Acumin Pro"/>
        <w:b/>
        <w:color w:val="391335"/>
        <w:spacing w:val="-4"/>
        <w:sz w:val="20"/>
      </w:rPr>
      <w:t xml:space="preserve">Aide et conseils juridiques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Pr>
        <w:rFonts w:ascii="Acumin Pro" w:hAnsi="Acumin Pro"/>
        <w:b/>
        <w:color w:val="391335"/>
        <w:spacing w:val="-2"/>
        <w:sz w:val="20"/>
        <w:szCs w:val="20"/>
      </w:rPr>
      <w:t xml:space="preserve">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Pr>
            <w:rFonts w:ascii="Acumin Pro" w:hAnsi="Acumin Pro"/>
            <w:sz w:val="20"/>
          </w:rPr>
          <w:t>2</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3624" w14:textId="77777777" w:rsidR="00FA5C87" w:rsidRDefault="00FA5C87">
      <w:r>
        <w:separator/>
      </w:r>
    </w:p>
  </w:footnote>
  <w:footnote w:type="continuationSeparator" w:id="0">
    <w:p w14:paraId="7E1CCAB2" w14:textId="77777777" w:rsidR="00FA5C87" w:rsidRDefault="00FA5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fr-FR" w:eastAsia="en-US" w:bidi="ar-SA"/>
      </w:rPr>
    </w:lvl>
    <w:lvl w:ilvl="1" w:tplc="FFFFFFFF">
      <w:numFmt w:val="bullet"/>
      <w:lvlText w:val="•"/>
      <w:lvlJc w:val="left"/>
      <w:pPr>
        <w:ind w:left="2018" w:hanging="360"/>
      </w:pPr>
      <w:rPr>
        <w:rFonts w:hint="default"/>
        <w:lang w:val="fr-FR" w:eastAsia="en-US" w:bidi="ar-SA"/>
      </w:rPr>
    </w:lvl>
    <w:lvl w:ilvl="2" w:tplc="FFFFFFFF">
      <w:numFmt w:val="bullet"/>
      <w:lvlText w:val="•"/>
      <w:lvlJc w:val="left"/>
      <w:pPr>
        <w:ind w:left="2896" w:hanging="360"/>
      </w:pPr>
      <w:rPr>
        <w:rFonts w:hint="default"/>
        <w:lang w:val="fr-FR" w:eastAsia="en-US" w:bidi="ar-SA"/>
      </w:rPr>
    </w:lvl>
    <w:lvl w:ilvl="3" w:tplc="FFFFFFFF">
      <w:numFmt w:val="bullet"/>
      <w:lvlText w:val="•"/>
      <w:lvlJc w:val="left"/>
      <w:pPr>
        <w:ind w:left="3774" w:hanging="360"/>
      </w:pPr>
      <w:rPr>
        <w:rFonts w:hint="default"/>
        <w:lang w:val="fr-FR" w:eastAsia="en-US" w:bidi="ar-SA"/>
      </w:rPr>
    </w:lvl>
    <w:lvl w:ilvl="4" w:tplc="FFFFFFFF">
      <w:numFmt w:val="bullet"/>
      <w:lvlText w:val="•"/>
      <w:lvlJc w:val="left"/>
      <w:pPr>
        <w:ind w:left="4653" w:hanging="360"/>
      </w:pPr>
      <w:rPr>
        <w:rFonts w:hint="default"/>
        <w:lang w:val="fr-FR" w:eastAsia="en-US" w:bidi="ar-SA"/>
      </w:rPr>
    </w:lvl>
    <w:lvl w:ilvl="5" w:tplc="FFFFFFFF">
      <w:numFmt w:val="bullet"/>
      <w:lvlText w:val="•"/>
      <w:lvlJc w:val="left"/>
      <w:pPr>
        <w:ind w:left="5531" w:hanging="360"/>
      </w:pPr>
      <w:rPr>
        <w:rFonts w:hint="default"/>
        <w:lang w:val="fr-FR" w:eastAsia="en-US" w:bidi="ar-SA"/>
      </w:rPr>
    </w:lvl>
    <w:lvl w:ilvl="6" w:tplc="FFFFFFFF">
      <w:numFmt w:val="bullet"/>
      <w:lvlText w:val="•"/>
      <w:lvlJc w:val="left"/>
      <w:pPr>
        <w:ind w:left="6409" w:hanging="360"/>
      </w:pPr>
      <w:rPr>
        <w:rFonts w:hint="default"/>
        <w:lang w:val="fr-FR" w:eastAsia="en-US" w:bidi="ar-SA"/>
      </w:rPr>
    </w:lvl>
    <w:lvl w:ilvl="7" w:tplc="FFFFFFFF">
      <w:numFmt w:val="bullet"/>
      <w:lvlText w:val="•"/>
      <w:lvlJc w:val="left"/>
      <w:pPr>
        <w:ind w:left="7287" w:hanging="360"/>
      </w:pPr>
      <w:rPr>
        <w:rFonts w:hint="default"/>
        <w:lang w:val="fr-FR" w:eastAsia="en-US" w:bidi="ar-SA"/>
      </w:rPr>
    </w:lvl>
    <w:lvl w:ilvl="8" w:tplc="FFFFFFFF">
      <w:numFmt w:val="bullet"/>
      <w:lvlText w:val="•"/>
      <w:lvlJc w:val="left"/>
      <w:pPr>
        <w:ind w:left="8166" w:hanging="360"/>
      </w:pPr>
      <w:rPr>
        <w:rFonts w:hint="default"/>
        <w:lang w:val="fr-FR"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fr-FR" w:eastAsia="en-US" w:bidi="ar-SA"/>
      </w:rPr>
    </w:lvl>
    <w:lvl w:ilvl="1" w:tplc="D3EE025A">
      <w:numFmt w:val="bullet"/>
      <w:lvlText w:val="•"/>
      <w:lvlJc w:val="left"/>
      <w:pPr>
        <w:ind w:left="2018" w:hanging="360"/>
      </w:pPr>
      <w:rPr>
        <w:rFonts w:hint="default"/>
        <w:lang w:val="fr-FR" w:eastAsia="en-US" w:bidi="ar-SA"/>
      </w:rPr>
    </w:lvl>
    <w:lvl w:ilvl="2" w:tplc="9718221A">
      <w:numFmt w:val="bullet"/>
      <w:lvlText w:val="•"/>
      <w:lvlJc w:val="left"/>
      <w:pPr>
        <w:ind w:left="2896" w:hanging="360"/>
      </w:pPr>
      <w:rPr>
        <w:rFonts w:hint="default"/>
        <w:lang w:val="fr-FR" w:eastAsia="en-US" w:bidi="ar-SA"/>
      </w:rPr>
    </w:lvl>
    <w:lvl w:ilvl="3" w:tplc="B82A9B58">
      <w:numFmt w:val="bullet"/>
      <w:lvlText w:val="•"/>
      <w:lvlJc w:val="left"/>
      <w:pPr>
        <w:ind w:left="3774" w:hanging="360"/>
      </w:pPr>
      <w:rPr>
        <w:rFonts w:hint="default"/>
        <w:lang w:val="fr-FR" w:eastAsia="en-US" w:bidi="ar-SA"/>
      </w:rPr>
    </w:lvl>
    <w:lvl w:ilvl="4" w:tplc="EA1AB054">
      <w:numFmt w:val="bullet"/>
      <w:lvlText w:val="•"/>
      <w:lvlJc w:val="left"/>
      <w:pPr>
        <w:ind w:left="4653" w:hanging="360"/>
      </w:pPr>
      <w:rPr>
        <w:rFonts w:hint="default"/>
        <w:lang w:val="fr-FR" w:eastAsia="en-US" w:bidi="ar-SA"/>
      </w:rPr>
    </w:lvl>
    <w:lvl w:ilvl="5" w:tplc="13481A2A">
      <w:numFmt w:val="bullet"/>
      <w:lvlText w:val="•"/>
      <w:lvlJc w:val="left"/>
      <w:pPr>
        <w:ind w:left="5531" w:hanging="360"/>
      </w:pPr>
      <w:rPr>
        <w:rFonts w:hint="default"/>
        <w:lang w:val="fr-FR" w:eastAsia="en-US" w:bidi="ar-SA"/>
      </w:rPr>
    </w:lvl>
    <w:lvl w:ilvl="6" w:tplc="19D8BF8E">
      <w:numFmt w:val="bullet"/>
      <w:lvlText w:val="•"/>
      <w:lvlJc w:val="left"/>
      <w:pPr>
        <w:ind w:left="6409" w:hanging="360"/>
      </w:pPr>
      <w:rPr>
        <w:rFonts w:hint="default"/>
        <w:lang w:val="fr-FR" w:eastAsia="en-US" w:bidi="ar-SA"/>
      </w:rPr>
    </w:lvl>
    <w:lvl w:ilvl="7" w:tplc="36409A50">
      <w:numFmt w:val="bullet"/>
      <w:lvlText w:val="•"/>
      <w:lvlJc w:val="left"/>
      <w:pPr>
        <w:ind w:left="7287" w:hanging="360"/>
      </w:pPr>
      <w:rPr>
        <w:rFonts w:hint="default"/>
        <w:lang w:val="fr-FR" w:eastAsia="en-US" w:bidi="ar-SA"/>
      </w:rPr>
    </w:lvl>
    <w:lvl w:ilvl="8" w:tplc="94D646C0">
      <w:numFmt w:val="bullet"/>
      <w:lvlText w:val="•"/>
      <w:lvlJc w:val="left"/>
      <w:pPr>
        <w:ind w:left="8166" w:hanging="360"/>
      </w:pPr>
      <w:rPr>
        <w:rFonts w:hint="default"/>
        <w:lang w:val="fr-FR"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2708C"/>
    <w:rsid w:val="00032D94"/>
    <w:rsid w:val="00033657"/>
    <w:rsid w:val="000340DF"/>
    <w:rsid w:val="000360AA"/>
    <w:rsid w:val="0004059A"/>
    <w:rsid w:val="00040763"/>
    <w:rsid w:val="0006361F"/>
    <w:rsid w:val="0008019C"/>
    <w:rsid w:val="00082506"/>
    <w:rsid w:val="00084225"/>
    <w:rsid w:val="000A5498"/>
    <w:rsid w:val="000A7CB3"/>
    <w:rsid w:val="000D3F74"/>
    <w:rsid w:val="000D45BB"/>
    <w:rsid w:val="000E56CE"/>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06B9"/>
    <w:rsid w:val="00196527"/>
    <w:rsid w:val="001A22B7"/>
    <w:rsid w:val="001A2DF9"/>
    <w:rsid w:val="001A3815"/>
    <w:rsid w:val="001B48C9"/>
    <w:rsid w:val="001C15CC"/>
    <w:rsid w:val="001C423C"/>
    <w:rsid w:val="001D0581"/>
    <w:rsid w:val="001D629D"/>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E7296"/>
    <w:rsid w:val="002F4C26"/>
    <w:rsid w:val="0030113C"/>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4C7"/>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4B94"/>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66039"/>
    <w:rsid w:val="008779EC"/>
    <w:rsid w:val="00892D31"/>
    <w:rsid w:val="008A61E2"/>
    <w:rsid w:val="008A7C81"/>
    <w:rsid w:val="008C2B13"/>
    <w:rsid w:val="008E1E93"/>
    <w:rsid w:val="008F3AE2"/>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0D04"/>
    <w:rsid w:val="00AB5D90"/>
    <w:rsid w:val="00AB6125"/>
    <w:rsid w:val="00AC19A2"/>
    <w:rsid w:val="00AD2D00"/>
    <w:rsid w:val="00AD3F45"/>
    <w:rsid w:val="00AF7D66"/>
    <w:rsid w:val="00B043E1"/>
    <w:rsid w:val="00B13698"/>
    <w:rsid w:val="00B33988"/>
    <w:rsid w:val="00B4706D"/>
    <w:rsid w:val="00B5445A"/>
    <w:rsid w:val="00B5655B"/>
    <w:rsid w:val="00B56BDE"/>
    <w:rsid w:val="00B5740B"/>
    <w:rsid w:val="00B6624A"/>
    <w:rsid w:val="00B814A3"/>
    <w:rsid w:val="00B85ABC"/>
    <w:rsid w:val="00B878E0"/>
    <w:rsid w:val="00B909EA"/>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1914"/>
    <w:rsid w:val="00C122BB"/>
    <w:rsid w:val="00C14FAB"/>
    <w:rsid w:val="00C15BFE"/>
    <w:rsid w:val="00C37408"/>
    <w:rsid w:val="00C440B4"/>
    <w:rsid w:val="00C47E41"/>
    <w:rsid w:val="00C50EBB"/>
    <w:rsid w:val="00C61653"/>
    <w:rsid w:val="00C67E39"/>
    <w:rsid w:val="00C86F62"/>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31C16"/>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0CB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5C87"/>
    <w:rsid w:val="00FA6638"/>
    <w:rsid w:val="00FD6349"/>
    <w:rsid w:val="00FD7263"/>
    <w:rsid w:val="00FE4849"/>
    <w:rsid w:val="00FE6253"/>
    <w:rsid w:val="00FE74D1"/>
    <w:rsid w:val="00FF1695"/>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hlaw.co.n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mmunitylaw.org.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awsociety.org.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ustice.govt.nz/courts/going-to-court/legal-aid/"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b.org.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CRFIWEBSITE-145050222-194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https://azurediagovt.sharepoint.com/sites/EXT-CommunityResiliencetoForeignInterferencewebsite_MEC/_layouts/15/DocIdRedir.aspx?ID=CRFIWEBSITE-145050222-194</Url>
      <Description>CRFIWEBSITE-145050222-194</Description>
    </_dlc_DocIdUrl>
  </documentManagement>
</p:properties>
</file>

<file path=customXml/itemProps1.xml><?xml version="1.0" encoding="utf-8"?>
<ds:datastoreItem xmlns:ds="http://schemas.openxmlformats.org/officeDocument/2006/customXml" ds:itemID="{B27A5C43-5492-4C83-9C85-186F25070F8F}">
  <ds:schemaRefs>
    <ds:schemaRef ds:uri="http://schemas.openxmlformats.org/officeDocument/2006/bibliography"/>
  </ds:schemaRefs>
</ds:datastoreItem>
</file>

<file path=customXml/itemProps2.xml><?xml version="1.0" encoding="utf-8"?>
<ds:datastoreItem xmlns:ds="http://schemas.openxmlformats.org/officeDocument/2006/customXml" ds:itemID="{7A3A50C4-F6D3-460F-9F39-C8BB5E5A4126}">
  <ds:schemaRefs>
    <ds:schemaRef ds:uri="http://schemas.microsoft.com/sharepoint/v3/contenttype/forms"/>
  </ds:schemaRefs>
</ds:datastoreItem>
</file>

<file path=customXml/itemProps3.xml><?xml version="1.0" encoding="utf-8"?>
<ds:datastoreItem xmlns:ds="http://schemas.openxmlformats.org/officeDocument/2006/customXml" ds:itemID="{85FFA971-7B28-46A4-9297-294B747A60C0}">
  <ds:schemaRefs>
    <ds:schemaRef ds:uri="http://schemas.microsoft.com/sharepoint/events"/>
  </ds:schemaRefs>
</ds:datastoreItem>
</file>

<file path=customXml/itemProps4.xml><?xml version="1.0" encoding="utf-8"?>
<ds:datastoreItem xmlns:ds="http://schemas.openxmlformats.org/officeDocument/2006/customXml" ds:itemID="{F2B64CA7-4A31-47A9-96ED-808CE1621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6EFC13-FB9E-4BD7-99AE-029F31F21766}">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2436</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2026-08-03T02:59:00Z</dcterms:created>
  <dcterms:modified xsi:type="dcterms:W3CDTF">2026-08-03T03:28:00Z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959f7ee6-20c2-425e-b80b-d067e0e60441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826400</vt:r8>
  </property>
</Properties>
</file>