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ind w:left="0"/>
        <w:rPr>
          <w:rFonts w:ascii="Acumin Pro" w:eastAsia="Acumin Pro" w:hAnsi="Acumin Pro"/>
          <w:color w:val="391335"/>
        </w:rPr>
      </w:pPr>
      <w:r>
        <w:rPr>
          <w:rFonts w:ascii="Acumin Pro" w:eastAsia="Acumin Pro" w:hAnsi="Acumin Pro"/>
          <w:color w:val="391335"/>
        </w:rPr>
        <w:t>法律支援與</w:t>
      </w:r>
      <w:r>
        <w:rPr>
          <w:rFonts w:ascii="Acumin Pro" w:eastAsia="Acumin Pro" w:hAnsi="Acumin Pro"/>
          <w:color w:val="391335"/>
          <w:spacing w:val="-2"/>
        </w:rPr>
        <w:t>諮詢</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rPr>
      </w:pPr>
      <w:r w:rsidRPr="00D52DBD">
        <w:rPr>
          <w:rFonts w:ascii="Acumin Pro" w:eastAsia="Acumin Pro" w:hAnsi="Acumin Pro"/>
          <w:b/>
        </w:rPr>
        <w:t>注意</w:t>
      </w:r>
      <w:r>
        <w:rPr>
          <w:rFonts w:ascii="Acumin Pro" w:eastAsia="Acumin Pro" w:hAnsi="Acumin Pro"/>
        </w:rPr>
        <w:t>：本文提供一般性資訊。僅供參考，並不構成法律意見。</w:t>
      </w:r>
      <w:r w:rsidR="00DB2A69" w:rsidRPr="00D52DBD">
        <w:rPr>
          <w:rFonts w:ascii="Acumin Pro" w:eastAsia="Acumin Pro" w:hAnsi="Acumin Pro"/>
        </w:rPr>
        <w:br/>
      </w:r>
      <w:r>
        <w:rPr>
          <w:rFonts w:ascii="Acumin Pro" w:eastAsia="Acumin Pro" w:hAnsi="Acumin Pro"/>
        </w:rPr>
        <w:t>如需具體法律意見，請諮詢合資格的法律專家。</w:t>
      </w:r>
    </w:p>
    <w:p w14:paraId="4AA8BA91" w14:textId="1F439237" w:rsidR="00B814A3" w:rsidRPr="00B950DF" w:rsidRDefault="005203C9" w:rsidP="00DD4A05">
      <w:pPr>
        <w:pStyle w:val="BodyText"/>
        <w:spacing w:before="200" w:after="200" w:line="249" w:lineRule="auto"/>
        <w:rPr>
          <w:rFonts w:ascii="Acumin Pro" w:eastAsia="Acumin Pro" w:hAnsi="Acumin Pro"/>
          <w:color w:val="231F20"/>
        </w:rPr>
      </w:pPr>
      <w:r>
        <w:rPr>
          <w:rFonts w:ascii="Acumin Pro" w:eastAsia="Acumin Pro" w:hAnsi="Acumin Pro"/>
          <w:color w:val="231F20"/>
        </w:rPr>
        <w:t>如果有人正遭受外國干預，獲取法律支援與諮詢服務能夠幫助他們了解自身享有的權利以及應對方法。</w:t>
      </w:r>
    </w:p>
    <w:p w14:paraId="60CD836C" w14:textId="77777777" w:rsidR="00D43421" w:rsidRPr="00B5655B" w:rsidRDefault="005203C9" w:rsidP="007D1386">
      <w:pPr>
        <w:pStyle w:val="Heading2"/>
        <w:spacing w:before="360"/>
        <w:ind w:left="0"/>
        <w:rPr>
          <w:rFonts w:ascii="Acumin Pro" w:eastAsia="Acumin Pro" w:hAnsi="Acumin Pro"/>
        </w:rPr>
      </w:pPr>
      <w:r>
        <w:rPr>
          <w:rFonts w:ascii="Acumin Pro" w:eastAsia="Acumin Pro" w:hAnsi="Acumin Pro"/>
          <w:color w:val="391335"/>
        </w:rPr>
        <w:t>您在紐</w:t>
      </w:r>
      <w:r>
        <w:rPr>
          <w:rFonts w:ascii="Acumin Pro" w:eastAsia="Acumin Pro" w:hAnsi="Acumin Pro"/>
          <w:color w:val="391335"/>
          <w:spacing w:val="-9"/>
        </w:rPr>
        <w:t>西蘭</w:t>
      </w:r>
      <w:r>
        <w:rPr>
          <w:rFonts w:ascii="Acumin Pro" w:eastAsia="Acumin Pro" w:hAnsi="Acumin Pro"/>
          <w:color w:val="391335"/>
        </w:rPr>
        <w:t>享有的權利</w:t>
      </w:r>
    </w:p>
    <w:p w14:paraId="4737BA26" w14:textId="5347D4C9" w:rsidR="00D43421" w:rsidRPr="003B214D" w:rsidRDefault="003B214D" w:rsidP="0099726C">
      <w:pPr>
        <w:pStyle w:val="BodyText"/>
        <w:spacing w:before="200" w:after="200"/>
        <w:rPr>
          <w:rStyle w:val="Hyperlink"/>
          <w:rFonts w:ascii="Acumin Pro" w:eastAsia="Acumin Pro" w:hAnsi="Acumin Pro"/>
        </w:rPr>
      </w:pPr>
      <w:r>
        <w:rPr>
          <w:rFonts w:ascii="Acumin Pro" w:eastAsia="Acumin Pro" w:hAnsi="Acumin Pro"/>
        </w:rPr>
        <w:fldChar w:fldCharType="begin"/>
      </w:r>
      <w:r>
        <w:rPr>
          <w:rFonts w:ascii="Acumin Pro" w:eastAsia="Acumin Pro" w:hAnsi="Acumin Pro"/>
        </w:rPr>
        <w:instrText>HYPERLINK "https://www.crfi.govt.nz/recognise/rights-nz"</w:instrText>
      </w:r>
      <w:r>
        <w:rPr>
          <w:rFonts w:ascii="Acumin Pro" w:eastAsia="Acumin Pro" w:hAnsi="Acumin Pro"/>
        </w:rPr>
      </w:r>
      <w:r>
        <w:rPr>
          <w:rFonts w:ascii="Acumin Pro" w:eastAsia="Acumin Pro" w:hAnsi="Acumin Pro"/>
        </w:rPr>
        <w:fldChar w:fldCharType="separate"/>
      </w:r>
      <w:r w:rsidR="005203C9" w:rsidRPr="003B214D">
        <w:rPr>
          <w:rStyle w:val="Hyperlink"/>
          <w:rFonts w:ascii="MS Gothic" w:eastAsia="MS Gothic" w:hAnsi="MS Gothic" w:cs="MS Gothic" w:hint="eastAsia"/>
        </w:rPr>
        <w:t>點擊此處了解您在紐西蘭享有的權利</w:t>
      </w:r>
    </w:p>
    <w:p w14:paraId="069434BF" w14:textId="085C18A2" w:rsidR="00D43421" w:rsidRPr="00B5655B" w:rsidRDefault="003B214D" w:rsidP="007D1386">
      <w:pPr>
        <w:pStyle w:val="Heading2"/>
        <w:tabs>
          <w:tab w:val="left" w:pos="8613"/>
        </w:tabs>
        <w:spacing w:before="360"/>
        <w:ind w:left="0"/>
        <w:rPr>
          <w:rFonts w:ascii="Acumin Pro" w:eastAsia="Acumin Pro" w:hAnsi="Acumin Pro"/>
          <w:color w:val="391335"/>
        </w:rPr>
      </w:pPr>
      <w:r>
        <w:rPr>
          <w:rFonts w:ascii="Acumin Pro" w:eastAsia="Acumin Pro" w:hAnsi="Acumin Pro" w:cs="Calibri"/>
          <w:b w:val="0"/>
          <w:bCs w:val="0"/>
          <w:sz w:val="22"/>
          <w:szCs w:val="22"/>
        </w:rPr>
        <w:fldChar w:fldCharType="end"/>
      </w:r>
      <w:r w:rsidR="005203C9">
        <w:rPr>
          <w:rFonts w:ascii="Acumin Pro" w:eastAsia="Acumin Pro" w:hAnsi="Acumin Pro"/>
          <w:color w:val="391335"/>
        </w:rPr>
        <w:t>如何尋求法律支援</w:t>
      </w:r>
    </w:p>
    <w:p w14:paraId="7EB83A88" w14:textId="77777777" w:rsidR="00D43421" w:rsidRPr="00B5655B" w:rsidRDefault="005203C9" w:rsidP="007D1386">
      <w:pPr>
        <w:pStyle w:val="BodyText"/>
        <w:spacing w:before="360"/>
        <w:rPr>
          <w:rFonts w:ascii="Acumin Pro" w:eastAsia="Acumin Pro" w:hAnsi="Acumin Pro"/>
          <w:b/>
          <w:bCs/>
        </w:rPr>
      </w:pPr>
      <w:r>
        <w:rPr>
          <w:rFonts w:ascii="Acumin Pro" w:eastAsia="Acumin Pro" w:hAnsi="Acumin Pro"/>
          <w:b/>
          <w:color w:val="231F20"/>
          <w:spacing w:val="-2"/>
          <w:w w:val="107"/>
        </w:rPr>
        <w:t>Community Law（社區法律服務）</w:t>
      </w:r>
    </w:p>
    <w:p w14:paraId="7CAA679E" w14:textId="59DE6B98" w:rsidR="00D43421" w:rsidRPr="00B5655B" w:rsidRDefault="005203C9" w:rsidP="009C3E46">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社區法律服務中心（Community Law </w:t>
      </w:r>
      <w:proofErr w:type="spellStart"/>
      <w:r>
        <w:rPr>
          <w:rFonts w:ascii="Acumin Pro" w:eastAsia="Acumin Pro" w:hAnsi="Acumin Pro"/>
          <w:color w:val="231F20"/>
        </w:rPr>
        <w:t>Centres</w:t>
      </w:r>
      <w:proofErr w:type="spellEnd"/>
      <w:r>
        <w:rPr>
          <w:rFonts w:ascii="Acumin Pro" w:eastAsia="Acumin Pro" w:hAnsi="Acumin Pro"/>
          <w:color w:val="231F20"/>
        </w:rPr>
        <w:t>）可提供：</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eastAsia="Acumin Pro" w:hAnsi="Acumin Pro"/>
        </w:rPr>
      </w:pPr>
      <w:r>
        <w:rPr>
          <w:rFonts w:ascii="Acumin Pro" w:eastAsia="Acumin Pro" w:hAnsi="Acumin Pro"/>
          <w:color w:val="231F20"/>
          <w:spacing w:val="4"/>
        </w:rPr>
        <w:t>法律資訊及培訓</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eastAsia="Acumin Pro" w:hAnsi="Acumin Pro"/>
          <w:color w:val="231F20"/>
        </w:rPr>
      </w:pPr>
      <w:r>
        <w:rPr>
          <w:rFonts w:ascii="Acumin Pro" w:eastAsia="Acumin Pro" w:hAnsi="Acumin Pro"/>
          <w:color w:val="231F20"/>
        </w:rPr>
        <w:t>法律意見、協助及代理服務，特別是無法負擔法律服務費用的人士</w:t>
      </w:r>
    </w:p>
    <w:p w14:paraId="2A8C9443" w14:textId="5EBBDF3E" w:rsidR="00D43421" w:rsidRDefault="005203C9" w:rsidP="009C3E46">
      <w:pPr>
        <w:pStyle w:val="BodyText"/>
        <w:spacing w:before="200" w:after="200" w:line="249" w:lineRule="auto"/>
        <w:rPr>
          <w:rFonts w:ascii="Acumin Pro" w:eastAsia="Acumin Pro" w:hAnsi="Acumin Pro"/>
          <w:color w:val="231F20"/>
        </w:rPr>
      </w:pPr>
      <w:r>
        <w:rPr>
          <w:rFonts w:ascii="Acumin Pro" w:eastAsia="Acumin Pro" w:hAnsi="Acumin Pro"/>
          <w:color w:val="231F20"/>
        </w:rPr>
        <w:t>紐西蘭境内共有 24 間社區法律服務中心。大部分中心亦會在較小型社區提供外展服務或設立法律諮詢站。可以直接聯絡所在地區的服務中心進行預約。</w:t>
      </w:r>
    </w:p>
    <w:p w14:paraId="634FDA00" w14:textId="77777777" w:rsidR="009C3E46" w:rsidRDefault="005203C9" w:rsidP="0084388A">
      <w:pPr>
        <w:pStyle w:val="BodyText"/>
        <w:spacing w:before="200" w:after="200"/>
      </w:pPr>
      <w:hyperlink r:id="rId11" w:history="1">
        <w:r>
          <w:rPr>
            <w:rStyle w:val="Hyperlink"/>
            <w:rFonts w:ascii="Acumin Pro" w:eastAsia="Acumin Pro" w:hAnsi="Acumin Pro"/>
            <w:spacing w:val="-1"/>
          </w:rPr>
          <w:t>請瀏覽 Community Law 網站了解更多資訊。</w:t>
        </w:r>
      </w:hyperlink>
    </w:p>
    <w:p w14:paraId="57E05D0C" w14:textId="096B2BD6" w:rsidR="00D43421" w:rsidRPr="00B5655B" w:rsidRDefault="005203C9" w:rsidP="007D1386">
      <w:pPr>
        <w:pStyle w:val="BodyText"/>
        <w:spacing w:before="360"/>
        <w:rPr>
          <w:rFonts w:ascii="Acumin Pro" w:eastAsia="Acumin Pro" w:hAnsi="Acumin Pro"/>
          <w:b/>
          <w:bCs/>
        </w:rPr>
      </w:pPr>
      <w:r>
        <w:rPr>
          <w:rFonts w:ascii="Acumin Pro" w:eastAsia="Acumin Pro" w:hAnsi="Acumin Pro"/>
          <w:b/>
          <w:color w:val="231F20"/>
          <w:spacing w:val="-4"/>
          <w:w w:val="107"/>
        </w:rPr>
        <w:t>Youth Law（青少年法律服務）</w:t>
      </w:r>
    </w:p>
    <w:p w14:paraId="1FD67D9E" w14:textId="77777777" w:rsidR="00FE74D1" w:rsidRDefault="005203C9" w:rsidP="00FE74D1">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Youth Law 為所有 25 歲以下兒童及年輕人提供免費法律服務。 </w:t>
      </w:r>
    </w:p>
    <w:p w14:paraId="555E75A4" w14:textId="2156F3DF" w:rsidR="00D43421" w:rsidRPr="00B5655B" w:rsidRDefault="005203C9" w:rsidP="00FE74D1">
      <w:pPr>
        <w:pStyle w:val="BodyText"/>
        <w:spacing w:before="200" w:after="200" w:line="249" w:lineRule="auto"/>
        <w:rPr>
          <w:rFonts w:ascii="Acumin Pro" w:eastAsia="Acumin Pro" w:hAnsi="Acumin Pro"/>
        </w:rPr>
      </w:pPr>
      <w:hyperlink r:id="rId12" w:history="1">
        <w:r>
          <w:rPr>
            <w:rStyle w:val="Hyperlink"/>
            <w:rFonts w:ascii="Acumin Pro" w:eastAsia="Acumin Pro" w:hAnsi="Acumin Pro"/>
          </w:rPr>
          <w:t>請瀏覽 Youth Law 網站了解更多資訊。</w:t>
        </w:r>
      </w:hyperlink>
    </w:p>
    <w:p w14:paraId="16C71584" w14:textId="5F18CBF9" w:rsidR="00D43421" w:rsidRPr="00613A51" w:rsidRDefault="005203C9" w:rsidP="00613A51">
      <w:pPr>
        <w:pStyle w:val="BodyText"/>
        <w:spacing w:before="360"/>
        <w:rPr>
          <w:rFonts w:ascii="Acumin Pro" w:eastAsia="Acumin Pro" w:hAnsi="Acumin Pro"/>
          <w:b/>
          <w:bCs/>
          <w:color w:val="231F20"/>
          <w:spacing w:val="4"/>
        </w:rPr>
      </w:pPr>
      <w:r>
        <w:rPr>
          <w:rFonts w:ascii="Acumin Pro" w:eastAsia="Acumin Pro" w:hAnsi="Acumin Pro"/>
          <w:b/>
          <w:color w:val="231F20"/>
          <w:spacing w:val="8"/>
        </w:rPr>
        <w:t>公民諮詢局（Citizens Advice Bureau）</w:t>
      </w:r>
    </w:p>
    <w:p w14:paraId="6E913108" w14:textId="77777777" w:rsidR="00D43421" w:rsidRPr="00B5655B" w:rsidRDefault="005203C9" w:rsidP="00781E55">
      <w:pPr>
        <w:pStyle w:val="BodyText"/>
        <w:spacing w:before="200" w:after="200"/>
        <w:rPr>
          <w:rFonts w:ascii="Acumin Pro" w:eastAsia="Acumin Pro" w:hAnsi="Acumin Pro"/>
          <w:color w:val="231F20"/>
        </w:rPr>
      </w:pPr>
      <w:r>
        <w:rPr>
          <w:rFonts w:ascii="Acumin Pro" w:eastAsia="Acumin Pro" w:hAnsi="Acumin Pro"/>
          <w:color w:val="231F20"/>
        </w:rPr>
        <w:t>公民諮詢局可提供：</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享有權利的相關資訊</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免費、保密及獨立的資訊與意見</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將您轉介至所在地的社區法律服務中心，以獲取法律意見</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關於如何獲取所需服務的資訊</w:t>
      </w:r>
    </w:p>
    <w:p w14:paraId="6120E314" w14:textId="028171A9" w:rsidR="00D43421" w:rsidRPr="00B5655B" w:rsidRDefault="005203C9" w:rsidP="00781E55">
      <w:pPr>
        <w:pStyle w:val="BodyText"/>
        <w:spacing w:before="200" w:after="200" w:line="249" w:lineRule="auto"/>
        <w:rPr>
          <w:rFonts w:ascii="Acumin Pro" w:eastAsia="Acumin Pro" w:hAnsi="Acumin Pro"/>
          <w:color w:val="231F20"/>
        </w:rPr>
      </w:pPr>
      <w:hyperlink r:id="rId13" w:history="1">
        <w:r>
          <w:rPr>
            <w:rStyle w:val="Hyperlink"/>
            <w:rFonts w:ascii="Acumin Pro" w:eastAsia="Acumin Pro" w:hAnsi="Acumin Pro"/>
          </w:rPr>
          <w:t>請瀏覽公民諮詢局網站獲取資訊</w:t>
        </w:r>
      </w:hyperlink>
      <w:r>
        <w:rPr>
          <w:rFonts w:ascii="Acumin Pro" w:eastAsia="Acumin Pro" w:hAnsi="Acumin Pro"/>
          <w:color w:val="231F20"/>
        </w:rPr>
        <w:t>，或免費致電 0800 367 222 尋求保密協助。</w:t>
      </w:r>
    </w:p>
    <w:p w14:paraId="74602358" w14:textId="6A043A37" w:rsidR="00D43421" w:rsidRPr="00206BA8" w:rsidRDefault="005203C9" w:rsidP="007D1386">
      <w:pPr>
        <w:pStyle w:val="BodyText"/>
        <w:spacing w:before="360"/>
        <w:rPr>
          <w:rFonts w:ascii="Acumin Pro" w:eastAsia="Acumin Pro" w:hAnsi="Acumin Pro"/>
          <w:b/>
          <w:color w:val="231F20"/>
          <w:spacing w:val="4"/>
        </w:rPr>
      </w:pPr>
      <w:r>
        <w:rPr>
          <w:rFonts w:ascii="Acumin Pro" w:eastAsia="Acumin Pro" w:hAnsi="Acumin Pro"/>
          <w:b/>
          <w:color w:val="231F20"/>
          <w:spacing w:val="4"/>
        </w:rPr>
        <w:lastRenderedPageBreak/>
        <w:t>法律援助</w:t>
      </w:r>
    </w:p>
    <w:p w14:paraId="1E5A3556" w14:textId="77777777" w:rsidR="00781E55" w:rsidRDefault="005203C9" w:rsidP="00781E55">
      <w:pPr>
        <w:pStyle w:val="BodyText"/>
        <w:spacing w:before="200" w:after="200"/>
        <w:rPr>
          <w:rFonts w:ascii="Acumin Pro" w:eastAsia="Acumin Pro" w:hAnsi="Acumin Pro"/>
          <w:color w:val="231F20"/>
          <w:spacing w:val="4"/>
        </w:rPr>
      </w:pPr>
      <w:r>
        <w:rPr>
          <w:rFonts w:ascii="Acumin Pro" w:eastAsia="Acumin Pro" w:hAnsi="Acumin Pro"/>
          <w:color w:val="231F20"/>
          <w:spacing w:val="4"/>
        </w:rPr>
        <w:t>法律援助是政府為無法負擔律師費的人士提供的資助。援助金可用於支付法律服務費用，以及處理可能需要遞交至法院處理的法律問題，確保人們不會因為無法負擔律師費而失去討回公道的機會。</w:t>
      </w:r>
    </w:p>
    <w:p w14:paraId="0FAD5B2B" w14:textId="77777777" w:rsidR="00781E55" w:rsidRDefault="005203C9" w:rsidP="00781E55">
      <w:pPr>
        <w:pStyle w:val="BodyText"/>
        <w:spacing w:before="200" w:after="200"/>
      </w:pPr>
      <w:hyperlink r:id="rId14" w:history="1">
        <w:r>
          <w:rPr>
            <w:rStyle w:val="Hyperlink"/>
            <w:rFonts w:ascii="Acumin Pro" w:eastAsia="Acumin Pro" w:hAnsi="Acumin Pro"/>
          </w:rPr>
          <w:t>點擊此處了解更多關於法律援助的資訊</w:t>
        </w:r>
      </w:hyperlink>
    </w:p>
    <w:p w14:paraId="6069164A" w14:textId="365901F8" w:rsidR="00D43421" w:rsidRPr="00206BA8" w:rsidRDefault="005203C9" w:rsidP="0084388A">
      <w:pPr>
        <w:pStyle w:val="BodyText"/>
        <w:spacing w:before="360"/>
        <w:rPr>
          <w:rFonts w:ascii="Acumin Pro" w:eastAsia="Acumin Pro" w:hAnsi="Acumin Pro"/>
          <w:b/>
          <w:color w:val="231F20"/>
          <w:spacing w:val="4"/>
        </w:rPr>
      </w:pPr>
      <w:r>
        <w:rPr>
          <w:rFonts w:ascii="Acumin Pro" w:eastAsia="Acumin Pro" w:hAnsi="Acumin Pro"/>
          <w:b/>
          <w:color w:val="231F20"/>
          <w:spacing w:val="4"/>
        </w:rPr>
        <w:t>紐西蘭律師協會（New Zealand Law Society）</w:t>
      </w:r>
    </w:p>
    <w:p w14:paraId="4BB74D95" w14:textId="77777777" w:rsidR="00781E55" w:rsidRDefault="005203C9" w:rsidP="00781E55">
      <w:pPr>
        <w:pStyle w:val="BodyText"/>
        <w:spacing w:before="200" w:after="200"/>
        <w:rPr>
          <w:rFonts w:ascii="Acumin Pro" w:eastAsia="Acumin Pro" w:hAnsi="Acumin Pro"/>
          <w:color w:val="231F20"/>
          <w:spacing w:val="4"/>
        </w:rPr>
      </w:pPr>
      <w:r>
        <w:rPr>
          <w:rFonts w:ascii="Acumin Pro" w:eastAsia="Acumin Pro" w:hAnsi="Acumin Pro"/>
          <w:color w:val="231F20"/>
          <w:spacing w:val="4"/>
        </w:rPr>
        <w:t xml:space="preserve">紐西蘭律師協會（簡稱 NZLS）是紐西蘭的律師監管機構。人們可登入協會網站上的名錄，搜尋律師。名錄中列出了已獲授權於紐西蘭執業的律師名單。 </w:t>
      </w:r>
    </w:p>
    <w:p w14:paraId="3A88F936" w14:textId="7EC0F656" w:rsidR="00D43421" w:rsidRPr="000011DE" w:rsidRDefault="005203C9" w:rsidP="00781E55">
      <w:pPr>
        <w:pStyle w:val="BodyText"/>
        <w:spacing w:before="200" w:after="200"/>
        <w:rPr>
          <w:rStyle w:val="Hyperlink"/>
        </w:rPr>
      </w:pPr>
      <w:hyperlink r:id="rId15" w:history="1">
        <w:r>
          <w:rPr>
            <w:rStyle w:val="Hyperlink"/>
            <w:rFonts w:ascii="Acumin Pro" w:eastAsia="Acumin Pro" w:hAnsi="Acumin Pro"/>
          </w:rPr>
          <w:t>瀏覽紐西蘭律師協會網站</w:t>
        </w:r>
      </w:hyperlink>
    </w:p>
    <w:sectPr w:rsidR="00D43421" w:rsidRPr="000011DE" w:rsidSect="00DD4A05">
      <w:headerReference w:type="default" r:id="rId16"/>
      <w:footerReference w:type="default" r:id="rId17"/>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B2D5" w14:textId="77777777" w:rsidR="007C299E" w:rsidRDefault="007C299E">
      <w:r>
        <w:separator/>
      </w:r>
    </w:p>
  </w:endnote>
  <w:endnote w:type="continuationSeparator" w:id="0">
    <w:p w14:paraId="61D5E755" w14:textId="77777777" w:rsidR="007C299E" w:rsidRDefault="007C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52A90308" w:rsidR="00CB2BD2" w:rsidRPr="00216311" w:rsidRDefault="00216311" w:rsidP="00216311">
    <w:pPr>
      <w:spacing w:before="22"/>
      <w:rPr>
        <w:rFonts w:ascii="Acumin Pro" w:eastAsia="Acumin Pro" w:hAnsi="Acumin Pro"/>
        <w:b/>
        <w:sz w:val="20"/>
        <w:szCs w:val="20"/>
      </w:rPr>
    </w:pPr>
    <w:r>
      <w:rPr>
        <w:rFonts w:ascii="Acumin Pro" w:eastAsia="Acumin Pro" w:hAnsi="Acumin Pro"/>
        <w:b/>
        <w:color w:val="391335"/>
        <w:spacing w:val="-4"/>
        <w:sz w:val="20"/>
      </w:rPr>
      <w:t xml:space="preserve">法律支援與諮詢 </w:t>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Pr>
        <w:rFonts w:ascii="Acumin Pro" w:eastAsia="Acumin Pro" w:hAnsi="Acumin Pro"/>
        <w:b/>
        <w:color w:val="391335"/>
        <w:spacing w:val="-2"/>
        <w:sz w:val="20"/>
        <w:szCs w:val="20"/>
      </w:rPr>
      <w:t xml:space="preserve"> </w:t>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CB2BD2" w:rsidRPr="00216311">
          <w:rPr>
            <w:rFonts w:ascii="Acumin Pro" w:eastAsia="Acumin Pro" w:hAnsi="Acumin Pro"/>
            <w:sz w:val="20"/>
            <w:szCs w:val="20"/>
          </w:rPr>
          <w:fldChar w:fldCharType="begin"/>
        </w:r>
        <w:r w:rsidR="00CB2BD2" w:rsidRPr="00216311">
          <w:rPr>
            <w:rFonts w:ascii="Acumin Pro" w:eastAsia="Acumin Pro" w:hAnsi="Acumin Pro"/>
            <w:sz w:val="20"/>
            <w:szCs w:val="20"/>
          </w:rPr>
          <w:instrText xml:space="preserve"> PAGE   \* MERGEFORMAT </w:instrText>
        </w:r>
        <w:r w:rsidR="00CB2BD2" w:rsidRPr="00216311">
          <w:rPr>
            <w:rFonts w:ascii="Acumin Pro" w:eastAsia="Acumin Pro" w:hAnsi="Acumin Pro"/>
            <w:sz w:val="20"/>
            <w:szCs w:val="20"/>
          </w:rPr>
          <w:fldChar w:fldCharType="separate"/>
        </w:r>
        <w:r>
          <w:rPr>
            <w:rFonts w:ascii="Acumin Pro" w:eastAsia="Acumin Pro" w:hAnsi="Acumin Pro"/>
            <w:sz w:val="20"/>
          </w:rPr>
          <w:t>2</w:t>
        </w:r>
        <w:r w:rsidR="00CB2BD2" w:rsidRPr="00216311">
          <w:rPr>
            <w:rFonts w:ascii="Acumin Pro" w:eastAsia="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C34E8" w14:textId="77777777" w:rsidR="007C299E" w:rsidRDefault="007C299E">
      <w:r>
        <w:separator/>
      </w:r>
    </w:p>
  </w:footnote>
  <w:footnote w:type="continuationSeparator" w:id="0">
    <w:p w14:paraId="4BF6A264" w14:textId="77777777" w:rsidR="007C299E" w:rsidRDefault="007C2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eastAsia="Symbol" w:hAnsi="Symbol" w:hint="default"/>
        <w:b w:val="0"/>
        <w:bCs w:val="0"/>
        <w:i w:val="0"/>
        <w:iCs w:val="0"/>
        <w:color w:val="231F20"/>
        <w:spacing w:val="0"/>
        <w:w w:val="61"/>
        <w:sz w:val="22"/>
        <w:szCs w:val="22"/>
        <w:lang w:val="en-US" w:eastAsia="zh-TW" w:bidi="ar-SA"/>
      </w:rPr>
    </w:lvl>
    <w:lvl w:ilvl="1" w:tplc="FFFFFFFF">
      <w:numFmt w:val="bullet"/>
      <w:lvlText w:val="•"/>
      <w:lvlJc w:val="left"/>
      <w:pPr>
        <w:ind w:left="2018" w:hanging="360"/>
      </w:pPr>
      <w:rPr>
        <w:rFonts w:hint="default"/>
        <w:lang w:val="en-US" w:eastAsia="zh-TW" w:bidi="ar-SA"/>
      </w:rPr>
    </w:lvl>
    <w:lvl w:ilvl="2" w:tplc="FFFFFFFF">
      <w:numFmt w:val="bullet"/>
      <w:lvlText w:val="•"/>
      <w:lvlJc w:val="left"/>
      <w:pPr>
        <w:ind w:left="2896" w:hanging="360"/>
      </w:pPr>
      <w:rPr>
        <w:rFonts w:hint="default"/>
        <w:lang w:val="en-US" w:eastAsia="zh-TW" w:bidi="ar-SA"/>
      </w:rPr>
    </w:lvl>
    <w:lvl w:ilvl="3" w:tplc="FFFFFFFF">
      <w:numFmt w:val="bullet"/>
      <w:lvlText w:val="•"/>
      <w:lvlJc w:val="left"/>
      <w:pPr>
        <w:ind w:left="3774" w:hanging="360"/>
      </w:pPr>
      <w:rPr>
        <w:rFonts w:hint="default"/>
        <w:lang w:val="en-US" w:eastAsia="zh-TW" w:bidi="ar-SA"/>
      </w:rPr>
    </w:lvl>
    <w:lvl w:ilvl="4" w:tplc="FFFFFFFF">
      <w:numFmt w:val="bullet"/>
      <w:lvlText w:val="•"/>
      <w:lvlJc w:val="left"/>
      <w:pPr>
        <w:ind w:left="4653" w:hanging="360"/>
      </w:pPr>
      <w:rPr>
        <w:rFonts w:hint="default"/>
        <w:lang w:val="en-US" w:eastAsia="zh-TW" w:bidi="ar-SA"/>
      </w:rPr>
    </w:lvl>
    <w:lvl w:ilvl="5" w:tplc="FFFFFFFF">
      <w:numFmt w:val="bullet"/>
      <w:lvlText w:val="•"/>
      <w:lvlJc w:val="left"/>
      <w:pPr>
        <w:ind w:left="5531" w:hanging="360"/>
      </w:pPr>
      <w:rPr>
        <w:rFonts w:hint="default"/>
        <w:lang w:val="en-US" w:eastAsia="zh-TW" w:bidi="ar-SA"/>
      </w:rPr>
    </w:lvl>
    <w:lvl w:ilvl="6" w:tplc="FFFFFFFF">
      <w:numFmt w:val="bullet"/>
      <w:lvlText w:val="•"/>
      <w:lvlJc w:val="left"/>
      <w:pPr>
        <w:ind w:left="6409" w:hanging="360"/>
      </w:pPr>
      <w:rPr>
        <w:rFonts w:hint="default"/>
        <w:lang w:val="en-US" w:eastAsia="zh-TW" w:bidi="ar-SA"/>
      </w:rPr>
    </w:lvl>
    <w:lvl w:ilvl="7" w:tplc="FFFFFFFF">
      <w:numFmt w:val="bullet"/>
      <w:lvlText w:val="•"/>
      <w:lvlJc w:val="left"/>
      <w:pPr>
        <w:ind w:left="7287" w:hanging="360"/>
      </w:pPr>
      <w:rPr>
        <w:rFonts w:hint="default"/>
        <w:lang w:val="en-US" w:eastAsia="zh-TW" w:bidi="ar-SA"/>
      </w:rPr>
    </w:lvl>
    <w:lvl w:ilvl="8" w:tplc="FFFFFFFF">
      <w:numFmt w:val="bullet"/>
      <w:lvlText w:val="•"/>
      <w:lvlJc w:val="left"/>
      <w:pPr>
        <w:ind w:left="8166" w:hanging="360"/>
      </w:pPr>
      <w:rPr>
        <w:rFonts w:hint="default"/>
        <w:lang w:val="en-US" w:eastAsia="zh-TW"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eastAsia="Symbol" w:hAnsi="Symbol"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zh-TW" w:bidi="ar-SA"/>
      </w:rPr>
    </w:lvl>
    <w:lvl w:ilvl="1" w:tplc="D3EE025A">
      <w:numFmt w:val="bullet"/>
      <w:lvlText w:val="•"/>
      <w:lvlJc w:val="left"/>
      <w:pPr>
        <w:ind w:left="2018" w:hanging="360"/>
      </w:pPr>
      <w:rPr>
        <w:rFonts w:hint="default"/>
        <w:lang w:val="en-US" w:eastAsia="zh-TW" w:bidi="ar-SA"/>
      </w:rPr>
    </w:lvl>
    <w:lvl w:ilvl="2" w:tplc="9718221A">
      <w:numFmt w:val="bullet"/>
      <w:lvlText w:val="•"/>
      <w:lvlJc w:val="left"/>
      <w:pPr>
        <w:ind w:left="2896" w:hanging="360"/>
      </w:pPr>
      <w:rPr>
        <w:rFonts w:hint="default"/>
        <w:lang w:val="en-US" w:eastAsia="zh-TW" w:bidi="ar-SA"/>
      </w:rPr>
    </w:lvl>
    <w:lvl w:ilvl="3" w:tplc="B82A9B58">
      <w:numFmt w:val="bullet"/>
      <w:lvlText w:val="•"/>
      <w:lvlJc w:val="left"/>
      <w:pPr>
        <w:ind w:left="3774" w:hanging="360"/>
      </w:pPr>
      <w:rPr>
        <w:rFonts w:hint="default"/>
        <w:lang w:val="en-US" w:eastAsia="zh-TW" w:bidi="ar-SA"/>
      </w:rPr>
    </w:lvl>
    <w:lvl w:ilvl="4" w:tplc="EA1AB054">
      <w:numFmt w:val="bullet"/>
      <w:lvlText w:val="•"/>
      <w:lvlJc w:val="left"/>
      <w:pPr>
        <w:ind w:left="4653" w:hanging="360"/>
      </w:pPr>
      <w:rPr>
        <w:rFonts w:hint="default"/>
        <w:lang w:val="en-US" w:eastAsia="zh-TW" w:bidi="ar-SA"/>
      </w:rPr>
    </w:lvl>
    <w:lvl w:ilvl="5" w:tplc="13481A2A">
      <w:numFmt w:val="bullet"/>
      <w:lvlText w:val="•"/>
      <w:lvlJc w:val="left"/>
      <w:pPr>
        <w:ind w:left="5531" w:hanging="360"/>
      </w:pPr>
      <w:rPr>
        <w:rFonts w:hint="default"/>
        <w:lang w:val="en-US" w:eastAsia="zh-TW" w:bidi="ar-SA"/>
      </w:rPr>
    </w:lvl>
    <w:lvl w:ilvl="6" w:tplc="19D8BF8E">
      <w:numFmt w:val="bullet"/>
      <w:lvlText w:val="•"/>
      <w:lvlJc w:val="left"/>
      <w:pPr>
        <w:ind w:left="6409" w:hanging="360"/>
      </w:pPr>
      <w:rPr>
        <w:rFonts w:hint="default"/>
        <w:lang w:val="en-US" w:eastAsia="zh-TW" w:bidi="ar-SA"/>
      </w:rPr>
    </w:lvl>
    <w:lvl w:ilvl="7" w:tplc="36409A50">
      <w:numFmt w:val="bullet"/>
      <w:lvlText w:val="•"/>
      <w:lvlJc w:val="left"/>
      <w:pPr>
        <w:ind w:left="7287" w:hanging="360"/>
      </w:pPr>
      <w:rPr>
        <w:rFonts w:hint="default"/>
        <w:lang w:val="en-US" w:eastAsia="zh-TW" w:bidi="ar-SA"/>
      </w:rPr>
    </w:lvl>
    <w:lvl w:ilvl="8" w:tplc="94D646C0">
      <w:numFmt w:val="bullet"/>
      <w:lvlText w:val="•"/>
      <w:lvlJc w:val="left"/>
      <w:pPr>
        <w:ind w:left="8166" w:hanging="360"/>
      </w:pPr>
      <w:rPr>
        <w:rFonts w:hint="default"/>
        <w:lang w:val="en-US" w:eastAsia="zh-TW"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24FFE"/>
    <w:rsid w:val="00032D94"/>
    <w:rsid w:val="00033657"/>
    <w:rsid w:val="000340DF"/>
    <w:rsid w:val="000360AA"/>
    <w:rsid w:val="0004059A"/>
    <w:rsid w:val="00040763"/>
    <w:rsid w:val="0006361F"/>
    <w:rsid w:val="0008019C"/>
    <w:rsid w:val="00082506"/>
    <w:rsid w:val="00082FB1"/>
    <w:rsid w:val="00084225"/>
    <w:rsid w:val="000A3CC1"/>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3EA0"/>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E2521"/>
    <w:rsid w:val="002F4C26"/>
    <w:rsid w:val="0030113C"/>
    <w:rsid w:val="00353757"/>
    <w:rsid w:val="00367435"/>
    <w:rsid w:val="00387FAA"/>
    <w:rsid w:val="00397BBE"/>
    <w:rsid w:val="003A2281"/>
    <w:rsid w:val="003B0CD0"/>
    <w:rsid w:val="003B214D"/>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C299E"/>
    <w:rsid w:val="007D1386"/>
    <w:rsid w:val="007D5569"/>
    <w:rsid w:val="007E0DC2"/>
    <w:rsid w:val="00802AA8"/>
    <w:rsid w:val="008232A4"/>
    <w:rsid w:val="0082527B"/>
    <w:rsid w:val="0082746F"/>
    <w:rsid w:val="00831490"/>
    <w:rsid w:val="0084388A"/>
    <w:rsid w:val="00866039"/>
    <w:rsid w:val="008779EC"/>
    <w:rsid w:val="00892D31"/>
    <w:rsid w:val="008A61E2"/>
    <w:rsid w:val="008B3BC8"/>
    <w:rsid w:val="008E1E93"/>
    <w:rsid w:val="009027BA"/>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F7D66"/>
    <w:rsid w:val="00B043E1"/>
    <w:rsid w:val="00B13698"/>
    <w:rsid w:val="00B23D84"/>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E72DF"/>
    <w:rsid w:val="00BF43BF"/>
    <w:rsid w:val="00BF485C"/>
    <w:rsid w:val="00C025BE"/>
    <w:rsid w:val="00C05048"/>
    <w:rsid w:val="00C0577E"/>
    <w:rsid w:val="00C05B82"/>
    <w:rsid w:val="00C122BB"/>
    <w:rsid w:val="00C14FAB"/>
    <w:rsid w:val="00C15BFE"/>
    <w:rsid w:val="00C27C9D"/>
    <w:rsid w:val="00C37408"/>
    <w:rsid w:val="00C440B4"/>
    <w:rsid w:val="00C47E41"/>
    <w:rsid w:val="00C50EBB"/>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43B74"/>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D612B"/>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b.org.n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outhlaw.co.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law.org.nz/" TargetMode="External"/><Relationship Id="rId5" Type="http://schemas.openxmlformats.org/officeDocument/2006/relationships/numbering" Target="numbering.xml"/><Relationship Id="rId15" Type="http://schemas.openxmlformats.org/officeDocument/2006/relationships/hyperlink" Target="https://www.lawsociety.org.n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stice.govt.nz/courts/going-to-court/legal-ai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CRFIWEBSITE-145050222-113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https://azurediagovt.sharepoint.com/sites/EXT-CommunityResiliencetoForeignInterferencewebsite_MEC/_layouts/15/DocIdRedir.aspx?ID=CRFIWEBSITE-145050222-113</Url>
      <Description>CRFIWEBSITE-145050222-113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AD115D-05C4-4214-9441-BF1A52B09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58237-51D5-4D5A-BB14-6A889973D027}">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3.xml><?xml version="1.0" encoding="utf-8"?>
<ds:datastoreItem xmlns:ds="http://schemas.openxmlformats.org/officeDocument/2006/customXml" ds:itemID="{6360033D-F678-4C34-A18A-C208FB76738D}">
  <ds:schemaRefs>
    <ds:schemaRef ds:uri="http://schemas.microsoft.com/sharepoint/v3/contenttype/forms"/>
  </ds:schemaRefs>
</ds:datastoreItem>
</file>

<file path=customXml/itemProps4.xml><?xml version="1.0" encoding="utf-8"?>
<ds:datastoreItem xmlns:ds="http://schemas.openxmlformats.org/officeDocument/2006/customXml" ds:itemID="{1BBA6439-5E55-435D-86F8-AA810660B75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162</Words>
  <Characters>929</Characters>
  <Application>Microsoft Office Word</Application>
  <DocSecurity>2</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2026-08-28T01:41:00Z</dcterms:created>
  <dcterms:modified xsi:type="dcterms:W3CDTF">2026-08-28T02:37:00Z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2d01a21c-acf3-46cd-b0bc-4654a9f2b52c</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822700</vt:r8>
  </property>
</Properties>
</file>