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Подорожі за кордон та іноземне втручання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5"/>
        </w:rPr>
        <w:t>Під час подорожей за кордон деякі люди можуть зіткнутися з іноземним втручанням через додаткову перевірку з боку іноземних органів влади, зокрема їхніх служб безпеки та розвідки.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3"/>
        </w:rPr>
        <w:t>Важливо пам’ятати, що більшість мандрівників можуть не зіткнутися з цим, і що перевірка на кордонах є поширеною в усьому світі, зазвичай рутинною та не пов’язаною з іноземним втручанням.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</w:rPr>
        <w:t>До осіб, які можуть підлягати додатковій перевірці у зв’язку з іноземним втручанням, належать: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2"/>
        </w:rPr>
        <w:t>особи, які стали об’єктом іноземного втручання в Новій Зеландії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члени спільноти, які відомі своїми поглядами, що відрізняються, або критично ставляться до іноземних держав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лідери громад, правозахисники та активісти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члени громади, які подорожують із сімейних, громадських або ділових причин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</w:rPr>
        <w:t>члени громади, які працюють в уряді Нової Зеландії, місцевих органах влади або є обраними посадовцями в Новій Зеландії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2"/>
        </w:rPr>
        <w:t>члени громади, які працюють в інших ключових секторах, наприклад, у сфері критичної інфраструктури, наукових кіл, ЗМІ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</w:rPr>
        <w:t>колишні біженці.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Залежно від країни, особи можуть стикатися з такими ризиками, як: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t xml:space="preserve">необґрунтовані розпитування </w:t>
      </w:r>
      <w:r>
        <w:rPr>
          <w:rFonts w:ascii="Acumin Pro" w:hAnsi="Acumin Pro"/>
          <w:color w:val="231F20"/>
          <w:spacing w:val="-7"/>
          <w:w w:val="105"/>
        </w:rPr>
        <w:t>з боку місцевих органів влади, наприклад щодо планів подорожі, діяльності або зв’язків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t xml:space="preserve">відмова у в'їзді чи </w:t>
      </w:r>
      <w:r>
        <w:rPr>
          <w:rFonts w:ascii="Acumin Pro" w:hAnsi="Acumin Pro"/>
          <w:b/>
          <w:color w:val="231F20"/>
          <w:w w:val="105"/>
        </w:rPr>
        <w:t>виїзді</w:t>
      </w:r>
      <w:r>
        <w:rPr>
          <w:rFonts w:ascii="Acumin Pro" w:hAnsi="Acumin Pro"/>
          <w:color w:val="231F20"/>
          <w:spacing w:val="-6"/>
          <w:w w:val="105"/>
        </w:rPr>
        <w:t>, наприклад, відмова у посадці на рейси або у перетині прикордонних контрольно-пропускних</w:t>
      </w:r>
      <w:r>
        <w:rPr>
          <w:rFonts w:ascii="Acumin Pro" w:hAnsi="Acumin Pro"/>
          <w:b/>
          <w:color w:val="231F20"/>
          <w:spacing w:val="-7"/>
          <w:w w:val="105"/>
        </w:rPr>
        <w:t xml:space="preserve"> пунктів</w:t>
      </w:r>
    </w:p>
    <w:p w14:paraId="229436A1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запровадження </w:t>
      </w:r>
      <w:r>
        <w:rPr>
          <w:rFonts w:ascii="Acumin Pro" w:hAnsi="Acumin Pro"/>
          <w:b/>
          <w:color w:val="231F20"/>
          <w:spacing w:val="-3"/>
          <w:w w:val="105"/>
        </w:rPr>
        <w:t>обмежень на поїздки або візи</w:t>
      </w:r>
      <w:r>
        <w:rPr>
          <w:rFonts w:ascii="Acumin Pro" w:hAnsi="Acumin Pro"/>
          <w:color w:val="231F20"/>
          <w:spacing w:val="-1"/>
          <w:w w:val="105"/>
        </w:rPr>
        <w:t>, включаючи обмеження на пересування в межах країни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>обшук електронних пристроїв</w:t>
      </w:r>
      <w:r>
        <w:rPr>
          <w:rFonts w:ascii="Acumin Pro" w:hAnsi="Acumin Pro"/>
          <w:color w:val="231F20"/>
          <w:spacing w:val="-4"/>
          <w:w w:val="105"/>
        </w:rPr>
        <w:t>, включаючи телефони, ноутбуки або інші пристрої, що може передбачати доступ до особистої інформації або</w:t>
      </w:r>
      <w:r>
        <w:rPr>
          <w:rFonts w:ascii="Acumin Pro" w:hAnsi="Acumin Pro"/>
          <w:b/>
          <w:color w:val="231F20"/>
          <w:spacing w:val="-4"/>
          <w:w w:val="105"/>
        </w:rPr>
        <w:t xml:space="preserve"> листування</w:t>
      </w:r>
    </w:p>
    <w:p w14:paraId="229436A3" w14:textId="2DFFFB28" w:rsid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  <w:color w:val="231F20"/>
          <w:w w:val="110"/>
        </w:rPr>
      </w:pPr>
      <w:r>
        <w:rPr>
          <w:rFonts w:ascii="Acumin Pro" w:hAnsi="Acumin Pro"/>
          <w:b/>
          <w:color w:val="231F20"/>
        </w:rPr>
        <w:t>цілеспрямоване спостереження, затримання або ув'язнення після прибуття</w:t>
      </w:r>
      <w:r w:rsidRPr="004270DA">
        <w:rPr>
          <w:rFonts w:ascii="Acumin Pro" w:hAnsi="Acumin Pro"/>
          <w:color w:val="231F20"/>
        </w:rPr>
        <w:t>,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що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може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включати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офіційні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  <w:spacing w:val="-3"/>
          <w:w w:val="110"/>
        </w:rPr>
        <w:t>правові заходи</w:t>
      </w:r>
    </w:p>
    <w:p w14:paraId="5052F636" w14:textId="77777777" w:rsidR="004270DA" w:rsidRDefault="004270DA">
      <w:pPr>
        <w:rPr>
          <w:rFonts w:ascii="Acumin Pro" w:hAnsi="Acumin Pro"/>
          <w:color w:val="231F20"/>
          <w:w w:val="110"/>
        </w:rPr>
      </w:pPr>
      <w:r>
        <w:rPr>
          <w:rFonts w:ascii="Acumin Pro" w:hAnsi="Acumin Pro"/>
          <w:color w:val="231F20"/>
          <w:w w:val="110"/>
        </w:rPr>
        <w:br w:type="page"/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2"/>
        </w:rPr>
        <w:lastRenderedPageBreak/>
        <w:t xml:space="preserve">зазнавати залякувань, переслідувань </w:t>
      </w:r>
      <w:r>
        <w:rPr>
          <w:rFonts w:ascii="Acumin Pro" w:hAnsi="Acumin Pro"/>
          <w:b/>
          <w:color w:val="231F20"/>
          <w:spacing w:val="4"/>
        </w:rPr>
        <w:t>або погроз</w:t>
      </w:r>
      <w:r>
        <w:rPr>
          <w:rFonts w:ascii="Acumin Pro" w:hAnsi="Acumin Pro"/>
          <w:b/>
          <w:color w:val="231F20"/>
          <w:spacing w:val="2"/>
        </w:rPr>
        <w:t xml:space="preserve"> </w:t>
      </w:r>
      <w:r>
        <w:rPr>
          <w:rFonts w:ascii="Acumin Pro" w:hAnsi="Acumin Pro"/>
          <w:color w:val="231F20"/>
          <w:spacing w:val="2"/>
        </w:rPr>
        <w:t>з</w:t>
      </w:r>
      <w:r>
        <w:rPr>
          <w:rFonts w:ascii="Acumin Pro" w:hAnsi="Acumin Pro"/>
          <w:b/>
          <w:color w:val="231F20"/>
          <w:spacing w:val="2"/>
        </w:rPr>
        <w:t xml:space="preserve"> боку </w:t>
      </w:r>
      <w:r>
        <w:rPr>
          <w:rFonts w:ascii="Acumin Pro" w:hAnsi="Acumin Pro"/>
          <w:color w:val="231F20"/>
          <w:spacing w:val="2"/>
        </w:rPr>
        <w:t>місцевої</w:t>
      </w:r>
      <w:r>
        <w:rPr>
          <w:rFonts w:ascii="Acumin Pro" w:hAnsi="Acumin Pro"/>
          <w:b/>
          <w:color w:val="231F20"/>
          <w:spacing w:val="2"/>
        </w:rPr>
        <w:t xml:space="preserve"> влади</w:t>
      </w:r>
    </w:p>
    <w:p w14:paraId="169D5769" w14:textId="5ABF7858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</w:rPr>
        <w:t>піддаватися розпитуванням, переслідуванням або залякуванню</w:t>
      </w:r>
      <w:r>
        <w:rPr>
          <w:rFonts w:ascii="Acumin Pro" w:hAnsi="Acumin Pro"/>
          <w:b/>
          <w:color w:val="231F20"/>
          <w:spacing w:val="4"/>
        </w:rPr>
        <w:t xml:space="preserve"> з боку місцевих</w:t>
      </w:r>
      <w:r>
        <w:rPr>
          <w:rFonts w:ascii="Acumin Pro" w:hAnsi="Acumin Pro"/>
          <w:b/>
          <w:color w:val="231F20"/>
        </w:rPr>
        <w:t xml:space="preserve"> груп</w:t>
      </w:r>
      <w:r w:rsidRPr="00144994">
        <w:rPr>
          <w:rFonts w:ascii="Acumin Pro" w:hAnsi="Acumin Pro"/>
          <w:color w:val="231F20"/>
        </w:rPr>
        <w:t>,</w:t>
      </w:r>
      <w:r>
        <w:rPr>
          <w:rFonts w:ascii="Acumin Pro" w:hAnsi="Acumin Pro"/>
          <w:color w:val="231F20"/>
        </w:rPr>
        <w:t xml:space="preserve"> а не лише правоохоронних</w:t>
      </w:r>
      <w:r>
        <w:rPr>
          <w:rFonts w:ascii="Acumin Pro" w:hAnsi="Acumin Pro"/>
          <w:color w:val="231F20"/>
          <w:spacing w:val="-5"/>
          <w:w w:val="108"/>
        </w:rPr>
        <w:t xml:space="preserve"> органів чи влади.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Консульська допомога Нової Зеландії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Міністерство закордонних справ і торгівлі (MFAT) надає консульські послуги громадянам Нової Зеландії за межами Нової Зеландії, навіть якщо вони зазвичай не проживають у Новій Зеландії.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3"/>
        </w:rPr>
        <w:t>Консульська допомога, як правило, не надається постійним резидентам Нової Зеландії.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Громадяни Нової Зеландії, які перебувають за кордоном, підпадають під дію місцевих законів іншої країни, включаючи закони цієї країни, що регулюють затримання, судове переслідування або обмеження на подорожі.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Особи з подвійним громадянством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5"/>
          <w:w w:val="104"/>
        </w:rPr>
        <w:t>Наявність подвійного громадянства може вплинути на здатність Нової Зеландії надавати консульську допомогу. У країні іншого громадянства місцева влада може розглядати особу лише як свого громадянина та не дозволяти консульського втручання з боку Нової Зеландії.</w:t>
      </w:r>
    </w:p>
    <w:p w14:paraId="2CFAB287" w14:textId="778AF4F9" w:rsidR="000F1A92" w:rsidRPr="00F177A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Більше інформації можна знайти на сторінці «Безпечні подорожі: особи з </w:t>
      </w:r>
      <w:hyperlink r:id="rId7" w:history="1">
        <w:r>
          <w:rPr>
            <w:rStyle w:val="Hyperlink"/>
            <w:rFonts w:ascii="Acumin Pro" w:hAnsi="Acumin Pro"/>
          </w:rPr>
          <w:t>подвійним громадянством та постійні резиденти</w:t>
        </w:r>
      </w:hyperlink>
      <w:r w:rsidRPr="00144994">
        <w:rPr>
          <w:rFonts w:ascii="Acumin Pro" w:hAnsi="Acumin Pro"/>
          <w:color w:val="0000FF"/>
        </w:rPr>
        <w:t xml:space="preserve"> </w:t>
      </w:r>
      <w:r>
        <w:rPr>
          <w:rFonts w:ascii="Acumin Pro" w:hAnsi="Acumin Pro"/>
          <w:color w:val="231F20"/>
        </w:rPr>
        <w:t>»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</w:rPr>
        <w:t>Біженці та колишні біженці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Якщо ви є біженцем за межами Нової Зеландії, існують значні обмеження щодо підтримки, яку може надати уряд Нової Зеландії.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Більше інформації можна знайти на сторінці «Безпечні подорожі: </w:t>
      </w:r>
      <w:hyperlink r:id="rId8" w:history="1">
        <w:r>
          <w:rPr>
            <w:rStyle w:val="Hyperlink"/>
            <w:rFonts w:ascii="Acumin Pro" w:hAnsi="Acumin Pro"/>
            <w:spacing w:val="-2"/>
          </w:rPr>
          <w:t>біженці та колишні біженці</w:t>
        </w:r>
      </w:hyperlink>
      <w:r>
        <w:rPr>
          <w:rFonts w:ascii="Acumin Pro" w:hAnsi="Acumin Pro"/>
          <w:color w:val="231F20"/>
        </w:rPr>
        <w:t>»</w:t>
      </w:r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Безпечні подорожі - Нова Зеландія (SafeTravel NZ)</w:t>
      </w:r>
    </w:p>
    <w:p w14:paraId="1272E0CE" w14:textId="24301FE7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3"/>
        </w:rPr>
        <w:t xml:space="preserve">Безпечні подорожі - Нова Зеландія </w:t>
      </w:r>
      <w:hyperlink r:id="rId9" w:history="1">
        <w:r>
          <w:rPr>
            <w:rStyle w:val="Hyperlink"/>
            <w:rFonts w:ascii="Acumin Pro" w:hAnsi="Acumin Pro"/>
          </w:rPr>
          <w:t xml:space="preserve"> (SafeTravel NZ) —</w:t>
        </w:r>
      </w:hyperlink>
      <w:r w:rsidR="00F46463" w:rsidRPr="00F46463">
        <w:t xml:space="preserve"> </w:t>
      </w:r>
      <w:r>
        <w:rPr>
          <w:rFonts w:ascii="Acumin Pro" w:hAnsi="Acumin Pro"/>
          <w:color w:val="231F20"/>
          <w:spacing w:val="-4"/>
          <w:w w:val="103"/>
        </w:rPr>
        <w:t>це офіційний веб-сайт Міністерства закордонних справ та торгівлі (MFAT) для новозеландців, які подорожують або проживають за кордоном. На сайті надаються рекомендації щодо подорожей, консульські послуги, поради з безпеки та доступна система реєстрації для мандрівників.</w:t>
      </w:r>
    </w:p>
    <w:p w14:paraId="745E1D48" w14:textId="4C4C8871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rFonts w:ascii="Acumin Pro" w:hAnsi="Acumin Pro"/>
          <w:color w:val="231F20"/>
          <w:spacing w:val="-4"/>
          <w:w w:val="105"/>
        </w:rPr>
        <w:t xml:space="preserve">Мандрівникам слід </w:t>
      </w:r>
      <w:r w:rsidR="000F1A92" w:rsidRPr="00144994">
        <w:rPr>
          <w:rFonts w:ascii="Acumin Pro" w:hAnsi="Acumin Pro"/>
          <w:b/>
          <w:bCs/>
          <w:color w:val="231F20"/>
          <w:spacing w:val="-2"/>
          <w:w w:val="105"/>
        </w:rPr>
        <w:t>зареєструватися</w:t>
      </w:r>
      <w:r w:rsidR="000F1A92"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>
        <w:rPr>
          <w:rFonts w:ascii="Acumin Pro" w:hAnsi="Acumin Pro"/>
          <w:color w:val="231F20"/>
          <w:spacing w:val="-4"/>
          <w:w w:val="105"/>
        </w:rPr>
        <w:t xml:space="preserve">на сайті </w:t>
      </w:r>
      <w:hyperlink r:id="rId10" w:history="1">
        <w:r>
          <w:rPr>
            <w:rStyle w:val="Hyperlink"/>
            <w:rFonts w:ascii="Acumin Pro" w:hAnsi="Acumin Pro"/>
            <w:spacing w:val="-5"/>
            <w:w w:val="105"/>
          </w:rPr>
          <w:t>SafeTravel New Zealand</w:t>
        </w:r>
      </w:hyperlink>
      <w:r>
        <w:rPr>
          <w:rFonts w:ascii="Acumin Pro" w:hAnsi="Acumin Pro"/>
          <w:color w:val="231F20"/>
          <w:spacing w:val="-5"/>
          <w:w w:val="105"/>
        </w:rPr>
        <w:t xml:space="preserve"> перед поїздкою за кордон. Це допомагає MFAT своєчасно надавати оновлення, зв’язуватися з мандрівниками за потреби та пропонувати допомогу, де це можливо.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CD38F" w14:textId="77777777" w:rsidR="00834094" w:rsidRDefault="00834094">
      <w:r>
        <w:separator/>
      </w:r>
    </w:p>
  </w:endnote>
  <w:endnote w:type="continuationSeparator" w:id="0">
    <w:p w14:paraId="7A2DAE46" w14:textId="77777777" w:rsidR="00834094" w:rsidRDefault="00834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2156A807" w:rsidR="008F361B" w:rsidRPr="00216311" w:rsidRDefault="00EA4802" w:rsidP="008F361B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 Подорожі за кордон та іноземне втручання</w:t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3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547B0" w14:textId="77777777" w:rsidR="00834094" w:rsidRDefault="00834094">
      <w:r>
        <w:separator/>
      </w:r>
    </w:p>
  </w:footnote>
  <w:footnote w:type="continuationSeparator" w:id="0">
    <w:p w14:paraId="20DCE73A" w14:textId="77777777" w:rsidR="00834094" w:rsidRDefault="00834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k-UA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uk-UA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uk-UA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uk-UA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uk-UA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uk-UA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uk-UA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uk-UA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5745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20D07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DC0"/>
    <w:rsid w:val="003F6360"/>
    <w:rsid w:val="004236E8"/>
    <w:rsid w:val="004270DA"/>
    <w:rsid w:val="004528FD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50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80100E"/>
    <w:rsid w:val="008013FE"/>
    <w:rsid w:val="00812D8C"/>
    <w:rsid w:val="00814361"/>
    <w:rsid w:val="0082642B"/>
    <w:rsid w:val="00834094"/>
    <w:rsid w:val="0083504D"/>
    <w:rsid w:val="00836104"/>
    <w:rsid w:val="00843CF4"/>
    <w:rsid w:val="008601FE"/>
    <w:rsid w:val="00887BA6"/>
    <w:rsid w:val="00887C79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15CC6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B58F4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46463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CRFIWEBSITE-145050222-678</_dlc_DocId>
    <_dlc_DocIdUrl xmlns="c78cdbf8-4243-4362-8765-2acd0e03065b">
      <Url>https://azurediagovt.sharepoint.com/sites/EXT-CommunityResiliencetoForeignInterferencewebsite_MEC/_layouts/15/DocIdRedir.aspx?ID=CRFIWEBSITE-145050222-678</Url>
      <Description>CRFIWEBSITE-145050222-678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9C5D6285-EDB3-4521-BA0A-F17B3D02E90C}"/>
</file>

<file path=customXml/itemProps2.xml><?xml version="1.0" encoding="utf-8"?>
<ds:datastoreItem xmlns:ds="http://schemas.openxmlformats.org/officeDocument/2006/customXml" ds:itemID="{D8591B22-B231-4587-8025-6AC497FDF4AC}"/>
</file>

<file path=customXml/itemProps3.xml><?xml version="1.0" encoding="utf-8"?>
<ds:datastoreItem xmlns:ds="http://schemas.openxmlformats.org/officeDocument/2006/customXml" ds:itemID="{685C395C-9AFD-4623-8D90-32866FBD2850}"/>
</file>

<file path=customXml/itemProps4.xml><?xml version="1.0" encoding="utf-8"?>
<ds:datastoreItem xmlns:ds="http://schemas.openxmlformats.org/officeDocument/2006/customXml" ds:itemID="{08EE20F2-FEBC-4B91-804B-38B221A5EA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3381</Characters>
  <Application>Microsoft Office Word</Application>
  <DocSecurity>2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2026-08-25T03:40:00Z</dcterms:created>
  <dcterms:modified xsi:type="dcterms:W3CDTF">2026-08-25T03:40:00Z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840300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db006bb9-bd2b-4862-8d7e-13cf841d454a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