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Yurtdışına seyahat ve yabancı müdahale</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Yurtdışına seyahat ederken, bazı kişiler güvenlik ve istihbarat kurumları da dahil olmak üzere yabancı yetkililerin ek denetimiyle karşı karşıya kalabilir.</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Seyahat eden çoğu kişinin bunu yaşamadığını ve sınırlarda denetimin dünya çapında yaygın olduğunu, genellikle rutin olarak yapıldığını ve bunun yabancı müdahale kapsamında olmadığını hatırlamak önemlidir.</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Yabancı müdahaleyle ilgili ek incelemeye tabi olabilecek kişiler şunlardır:</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Yeni Zelanda'da hedef alınan kişiler</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Yabancı devletleri eleştiren veya karşı görüşlere sahip olduğu bilinen topluluk üyeleri</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Topluluk liderleri, savunucuları ve aktivistler</w:t>
      </w:r>
    </w:p>
    <w:p w14:paraId="22943698"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ailevi, toplumsal veya iş amaçlı seyahat eden topluluk üyeleri</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Yeni Zelanda Hükümeti, yerel belediye konseyleri veya Yeni Zelanda'da seçilmiş yetkili olan topluluk üyeleri</w:t>
      </w:r>
    </w:p>
    <w:p w14:paraId="2294369A"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kritik altyapı, akademi, medya gibi diğer kilit sektörlerde çalışan topluluk üyeleri</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eski mülteciler.</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Kişiler ülkeye bağlı olarak aşağıdaki gibi risklerle karşı karşıya kalabilirler:</w:t>
      </w:r>
    </w:p>
    <w:p w14:paraId="2294369F" w14:textId="4C8B0FDB"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sidRPr="00461F90">
        <w:rPr>
          <w:rFonts w:ascii="Acumin Pro" w:hAnsi="Acumin Pro"/>
          <w:b/>
          <w:bCs/>
          <w:color w:val="231F20"/>
          <w:spacing w:val="-7"/>
          <w:w w:val="105"/>
        </w:rPr>
        <w:t>Yerel yetkililer tarafından gereksiz yere sorgulanmak</w:t>
      </w:r>
      <w:r>
        <w:rPr>
          <w:rFonts w:ascii="Acumin Pro" w:hAnsi="Acumin Pro"/>
          <w:color w:val="231F20"/>
          <w:spacing w:val="-7"/>
          <w:w w:val="105"/>
        </w:rPr>
        <w:t>, örneğin seyahat planları, aktiviteler veya bağlantılar hakkında.</w:t>
      </w:r>
    </w:p>
    <w:p w14:paraId="229436A0" w14:textId="0DEC2F09"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Giriş veya</w:t>
      </w:r>
      <w:r>
        <w:rPr>
          <w:rFonts w:ascii="Acumin Pro" w:hAnsi="Acumin Pro"/>
          <w:b/>
          <w:color w:val="231F20"/>
          <w:w w:val="105"/>
        </w:rPr>
        <w:t xml:space="preserve"> çıkışın</w:t>
      </w:r>
      <w:r w:rsidR="00461F90">
        <w:rPr>
          <w:rFonts w:ascii="Acumin Pro" w:hAnsi="Acumin Pro"/>
          <w:b/>
          <w:color w:val="231F20"/>
          <w:w w:val="105"/>
        </w:rPr>
        <w:t xml:space="preserve"> </w:t>
      </w:r>
      <w:r>
        <w:rPr>
          <w:rFonts w:ascii="Acumin Pro" w:hAnsi="Acumin Pro"/>
          <w:b/>
          <w:color w:val="231F20"/>
          <w:spacing w:val="-7"/>
          <w:w w:val="105"/>
        </w:rPr>
        <w:t>reddedilmesi</w:t>
      </w:r>
      <w:r>
        <w:rPr>
          <w:rFonts w:ascii="Acumin Pro" w:hAnsi="Acumin Pro"/>
          <w:color w:val="231F20"/>
          <w:spacing w:val="-6"/>
          <w:w w:val="105"/>
        </w:rPr>
        <w:t>, örneğin uçaklara binmenin reddedilmesi veya sınır kontrol noktalarından girişin engellenmesi.</w:t>
      </w:r>
    </w:p>
    <w:p w14:paraId="229436A1" w14:textId="38D52404"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color w:val="231F20"/>
          <w:spacing w:val="-1"/>
          <w:w w:val="105"/>
        </w:rPr>
        <w:t>Ülke içinde hareket kısıtlamaları da dahil olmak üzere</w:t>
      </w:r>
      <w:r w:rsidR="00461F90">
        <w:rPr>
          <w:rFonts w:ascii="Acumin Pro" w:hAnsi="Acumin Pro"/>
          <w:color w:val="231F20"/>
          <w:spacing w:val="-1"/>
          <w:w w:val="105"/>
        </w:rPr>
        <w:t xml:space="preserve"> </w:t>
      </w:r>
      <w:r>
        <w:rPr>
          <w:rFonts w:ascii="Acumin Pro" w:hAnsi="Acumin Pro"/>
          <w:b/>
          <w:color w:val="231F20"/>
          <w:w w:val="105"/>
        </w:rPr>
        <w:t>seyahat veya</w:t>
      </w:r>
      <w:r>
        <w:rPr>
          <w:rFonts w:ascii="Acumin Pro" w:hAnsi="Acumin Pro"/>
          <w:b/>
          <w:color w:val="231F20"/>
          <w:spacing w:val="-3"/>
          <w:w w:val="105"/>
        </w:rPr>
        <w:t xml:space="preserve"> vize kısıtlamalarının getirilmesi</w:t>
      </w:r>
      <w:r>
        <w:rPr>
          <w:rFonts w:ascii="Acumin Pro" w:hAnsi="Acumin Pro"/>
          <w:b/>
          <w:color w:val="231F20"/>
          <w:w w:val="105"/>
        </w:rPr>
        <w:t>.</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color w:val="231F20"/>
          <w:spacing w:val="-4"/>
          <w:w w:val="105"/>
        </w:rPr>
        <w:t xml:space="preserve">Telefonlar, dizüstü bilgisayarlar veya diğer cihazlar da dahil olmak üzere </w:t>
      </w:r>
      <w:r w:rsidRPr="00461F90">
        <w:rPr>
          <w:rFonts w:ascii="Acumin Pro" w:hAnsi="Acumin Pro"/>
          <w:b/>
          <w:bCs/>
          <w:color w:val="231F20"/>
          <w:spacing w:val="-4"/>
          <w:w w:val="105"/>
        </w:rPr>
        <w:t>elektronik cihazların aranması</w:t>
      </w:r>
      <w:r>
        <w:rPr>
          <w:rFonts w:ascii="Acumin Pro" w:hAnsi="Acumin Pro"/>
          <w:color w:val="231F20"/>
          <w:spacing w:val="-4"/>
          <w:w w:val="105"/>
        </w:rPr>
        <w:t xml:space="preserve"> - bu kişisel bilgilere veya iletişimlere erişimi de içerebilir.</w:t>
      </w:r>
    </w:p>
    <w:p w14:paraId="229436A3" w14:textId="2DFFFB28" w:rsidR="004270DA" w:rsidRDefault="00C55FAC" w:rsidP="004270DA">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t>Varıştan sonra hedefli gözetim, gözaltı veya hapis cezası</w:t>
      </w:r>
      <w:r w:rsidRPr="004270DA">
        <w:rPr>
          <w:rFonts w:ascii="Acumin Pro" w:hAnsi="Acumin Pro"/>
          <w:color w:val="231F20"/>
        </w:rPr>
        <w:t xml:space="preserve"> - </w:t>
      </w:r>
      <w:r>
        <w:rPr>
          <w:rFonts w:ascii="Acumin Pro" w:hAnsi="Acumin Pro"/>
          <w:color w:val="231F20"/>
        </w:rPr>
        <w:t>bu, resmi</w:t>
      </w:r>
      <w:r>
        <w:rPr>
          <w:rFonts w:ascii="Acumin Pro" w:hAnsi="Acumin Pro"/>
          <w:color w:val="231F20"/>
          <w:spacing w:val="-3"/>
          <w:w w:val="110"/>
        </w:rPr>
        <w:t xml:space="preserve"> yasal işlemleri</w:t>
      </w:r>
      <w:r>
        <w:rPr>
          <w:rFonts w:ascii="Acumin Pro" w:hAnsi="Acumin Pro"/>
          <w:color w:val="231F20"/>
        </w:rPr>
        <w:t xml:space="preserve"> de içerebilir.</w:t>
      </w:r>
    </w:p>
    <w:p w14:paraId="5052F636" w14:textId="77777777" w:rsidR="004270DA" w:rsidRDefault="004270DA">
      <w:pPr>
        <w:rPr>
          <w:rFonts w:ascii="Acumin Pro" w:hAnsi="Acumin Pro"/>
          <w:color w:val="231F20"/>
          <w:w w:val="110"/>
        </w:rPr>
      </w:pPr>
      <w:r>
        <w:rPr>
          <w:rFonts w:ascii="Acumin Pro" w:hAnsi="Acumin Pro"/>
          <w:color w:val="231F20"/>
          <w:w w:val="110"/>
        </w:rPr>
        <w:br w:type="page"/>
      </w:r>
    </w:p>
    <w:p w14:paraId="229436A4" w14:textId="45C9109B"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color w:val="231F20"/>
          <w:spacing w:val="2"/>
        </w:rPr>
        <w:lastRenderedPageBreak/>
        <w:t xml:space="preserve"> yerel</w:t>
      </w:r>
      <w:r>
        <w:rPr>
          <w:rFonts w:ascii="Acumin Pro" w:hAnsi="Acumin Pro"/>
          <w:color w:val="231F20"/>
          <w:spacing w:val="-2"/>
        </w:rPr>
        <w:t xml:space="preserve"> yetkililerden</w:t>
      </w:r>
      <w:r>
        <w:rPr>
          <w:rFonts w:ascii="Acumin Pro" w:hAnsi="Acumin Pro"/>
          <w:color w:val="231F20"/>
          <w:spacing w:val="2"/>
        </w:rPr>
        <w:t xml:space="preserve"> gelen</w:t>
      </w:r>
      <w:r w:rsidR="00461F90">
        <w:rPr>
          <w:rFonts w:ascii="Acumin Pro" w:hAnsi="Acumin Pro"/>
          <w:color w:val="231F20"/>
          <w:spacing w:val="2"/>
        </w:rPr>
        <w:t xml:space="preserve"> </w:t>
      </w:r>
      <w:r>
        <w:rPr>
          <w:rFonts w:ascii="Acumin Pro" w:hAnsi="Acumin Pro"/>
          <w:b/>
          <w:color w:val="231F20"/>
          <w:spacing w:val="2"/>
        </w:rPr>
        <w:t>yıldırma, taciz</w:t>
      </w:r>
      <w:r>
        <w:rPr>
          <w:rFonts w:ascii="Acumin Pro" w:hAnsi="Acumin Pro"/>
          <w:b/>
          <w:color w:val="231F20"/>
          <w:spacing w:val="4"/>
        </w:rPr>
        <w:t xml:space="preserve"> veya tehditlere</w:t>
      </w:r>
      <w:r w:rsidR="00461F90">
        <w:rPr>
          <w:rFonts w:ascii="Acumin Pro" w:hAnsi="Acumin Pro"/>
          <w:b/>
          <w:color w:val="231F20"/>
          <w:spacing w:val="4"/>
        </w:rPr>
        <w:t xml:space="preserve"> </w:t>
      </w:r>
      <w:r>
        <w:rPr>
          <w:rFonts w:ascii="Acumin Pro" w:hAnsi="Acumin Pro"/>
          <w:b/>
          <w:color w:val="231F20"/>
          <w:spacing w:val="2"/>
        </w:rPr>
        <w:t>maruz kalmak</w:t>
      </w:r>
    </w:p>
    <w:p w14:paraId="169D5769" w14:textId="4D8EEDE3"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color w:val="231F20"/>
        </w:rPr>
        <w:t xml:space="preserve"> Sadece</w:t>
      </w:r>
      <w:r>
        <w:rPr>
          <w:rFonts w:ascii="Acumin Pro" w:hAnsi="Acumin Pro"/>
          <w:color w:val="231F20"/>
          <w:spacing w:val="-5"/>
          <w:w w:val="108"/>
        </w:rPr>
        <w:t xml:space="preserve"> kolluk kuvvetleri veya yetkililer</w:t>
      </w:r>
      <w:r>
        <w:rPr>
          <w:rFonts w:ascii="Acumin Pro" w:hAnsi="Acumin Pro"/>
          <w:color w:val="231F20"/>
        </w:rPr>
        <w:t xml:space="preserve"> tarafından değil</w:t>
      </w:r>
      <w:r w:rsidRPr="00144994">
        <w:rPr>
          <w:rFonts w:ascii="Acumin Pro" w:hAnsi="Acumin Pro"/>
          <w:color w:val="231F20"/>
        </w:rPr>
        <w:t>,</w:t>
      </w:r>
      <w:r>
        <w:rPr>
          <w:rFonts w:ascii="Acumin Pro" w:hAnsi="Acumin Pro"/>
          <w:b/>
          <w:color w:val="231F20"/>
          <w:spacing w:val="4"/>
        </w:rPr>
        <w:t xml:space="preserve"> yerel gruplar tarafından da</w:t>
      </w:r>
      <w:r w:rsidR="00461F90">
        <w:rPr>
          <w:rFonts w:ascii="Acumin Pro" w:hAnsi="Acumin Pro"/>
          <w:b/>
          <w:color w:val="231F20"/>
          <w:spacing w:val="4"/>
        </w:rPr>
        <w:t xml:space="preserve"> </w:t>
      </w:r>
      <w:r>
        <w:rPr>
          <w:rFonts w:ascii="Acumin Pro" w:hAnsi="Acumin Pro"/>
          <w:b/>
          <w:color w:val="231F20"/>
        </w:rPr>
        <w:t>sorgulamaya, tacize veya yıldırmaya maruz kalmak.</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Yeni Zelanda konsolosluk yardımı</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Dışişleri ve Ticaret Bakanlığı (MFAT), Yeni Zelanda dışındaki vatandaşlarına, normalde Yeni Zelanda'da yaşamasalar bile, konsolosluk hizmeti sunmaktadır.</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Yeni Zelanda Daimi Oturma Sakinlerine genellikle konsolosluk yardımı sağlanmaz.</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Yurtdışındaki Yeni Zelandalılar, diğer ülkedeki yerel yasalara tabidir; bunlar arasında gözaltı, kovuşturma veya seyahat kısıtlamaları gibi yerel yasalar da vardır.</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Çifte vatandaşlar</w:t>
      </w:r>
    </w:p>
    <w:p w14:paraId="25F65E43" w14:textId="2517063B"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 xml:space="preserve">Çifte vatandaşlığa sahip olmak, Yeni Zelanda'nın konsolosluk yardımı sağlama </w:t>
      </w:r>
      <w:r w:rsidR="00461F90">
        <w:rPr>
          <w:rFonts w:ascii="Acumin Pro" w:hAnsi="Acumin Pro"/>
          <w:color w:val="231F20"/>
          <w:spacing w:val="-5"/>
          <w:w w:val="104"/>
        </w:rPr>
        <w:t xml:space="preserve">yetisini </w:t>
      </w:r>
      <w:r>
        <w:rPr>
          <w:rFonts w:ascii="Acumin Pro" w:hAnsi="Acumin Pro"/>
          <w:color w:val="231F20"/>
          <w:spacing w:val="-5"/>
          <w:w w:val="104"/>
        </w:rPr>
        <w:t>etkileyebilir. Başka bir vatandaşın bulunduğu ülkede, yerel yetkililer kişiye yalnızca o ülkenin vatandaşıymış gibi davranabilir ve Yeni Zelanda'nın müdahalesine izin vermeyebilir.</w:t>
      </w:r>
    </w:p>
    <w:p w14:paraId="2CFAB287" w14:textId="0539AA97"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Güvenli Seyahat: </w:t>
      </w:r>
      <w:hyperlink r:id="rId7" w:history="1">
        <w:r>
          <w:rPr>
            <w:rStyle w:val="Hyperlink"/>
            <w:rFonts w:ascii="Acumin Pro" w:hAnsi="Acumin Pro"/>
          </w:rPr>
          <w:t>Çifte Vatandaşlar ve Daimi İkamet Edenler</w:t>
        </w:r>
      </w:hyperlink>
      <w:r w:rsidR="00F63F35">
        <w:rPr>
          <w:rFonts w:ascii="Acumin Pro" w:hAnsi="Acumin Pro"/>
          <w:color w:val="0000FF"/>
        </w:rPr>
        <w:t xml:space="preserve"> </w:t>
      </w:r>
      <w:r>
        <w:rPr>
          <w:rFonts w:ascii="Acumin Pro" w:hAnsi="Acumin Pro"/>
          <w:color w:val="231F20"/>
        </w:rPr>
        <w:t>sayfasında daha fazla bilgi bulabilirsiniz.</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Mülteciler ve eski mülteciler</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Yeni Zelanda dışında bir mülteciyseniz, Yeni Zelanda Hükümeti'nin sağlayabileceği destek önemli ölçüde sınırlıdır.</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Güvenli Seyahat: </w:t>
      </w:r>
      <w:hyperlink r:id="rId8" w:history="1">
        <w:r>
          <w:rPr>
            <w:rStyle w:val="Hyperlink"/>
            <w:rFonts w:ascii="Acumin Pro" w:hAnsi="Acumin Pro"/>
            <w:spacing w:val="-2"/>
          </w:rPr>
          <w:t>Mülteciler ve eski mülteciler</w:t>
        </w:r>
      </w:hyperlink>
      <w:r>
        <w:rPr>
          <w:rFonts w:ascii="Acumin Pro" w:hAnsi="Acumin Pro"/>
          <w:color w:val="231F20"/>
        </w:rPr>
        <w:t>sayfasında daha fazla bilgi bulabilirsiniz.</w:t>
      </w:r>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 xml:space="preserve">Güvenli Seyahat Yeni Zelanda </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Güvenli Seyahat Yeni Zelanda (SafeTravel NZ),</w:t>
        </w:r>
      </w:hyperlink>
      <w:r>
        <w:rPr>
          <w:rFonts w:ascii="Acumin Pro" w:hAnsi="Acumin Pro"/>
          <w:color w:val="231F20"/>
          <w:spacing w:val="-4"/>
          <w:w w:val="103"/>
        </w:rPr>
        <w:t xml:space="preserve"> yurt dışında seyahat eden veya yaşayan Yeni Zelandalılar için resmi Dışişleri ve Ticaret Bakanlığı (MFAT) web sitesidir ve seyahat tavsiyeleri, konsolosluk hizmetleri, güvenlik ipuçları ve seyahat eden kişiler için bir kayıt sistemi sunmaktadır.</w:t>
      </w:r>
    </w:p>
    <w:p w14:paraId="745E1D48" w14:textId="7F56D83A"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Seyahat edenlerin yurt dışına çıkmadan önce</w:t>
      </w:r>
      <w:r w:rsidR="00461F90">
        <w:rPr>
          <w:rFonts w:ascii="Acumin Pro" w:hAnsi="Acumin Pro"/>
          <w:color w:val="231F20"/>
          <w:spacing w:val="-4"/>
          <w:w w:val="105"/>
        </w:rPr>
        <w:t xml:space="preserve"> </w:t>
      </w:r>
      <w:hyperlink r:id="rId10" w:history="1">
        <w:r>
          <w:rPr>
            <w:rStyle w:val="Hyperlink"/>
            <w:rFonts w:ascii="Acumin Pro" w:hAnsi="Acumin Pro"/>
            <w:spacing w:val="-5"/>
            <w:w w:val="105"/>
          </w:rPr>
          <w:t xml:space="preserve">Güvenli Seyahat Yeni Zelanda websitesine </w:t>
        </w:r>
      </w:hyperlink>
      <w:r w:rsidR="000F1A92" w:rsidRPr="00144994">
        <w:rPr>
          <w:rFonts w:ascii="Acumin Pro" w:hAnsi="Acumin Pro"/>
          <w:b/>
          <w:bCs/>
          <w:color w:val="231F20"/>
          <w:spacing w:val="-2"/>
          <w:w w:val="105"/>
        </w:rPr>
        <w:t>kayıt yaptırmaları</w:t>
      </w:r>
      <w:r w:rsidR="000F1A92" w:rsidRPr="00144994">
        <w:rPr>
          <w:rFonts w:ascii="Acumin Pro" w:hAnsi="Acumin Pro"/>
          <w:color w:val="231F20"/>
          <w:spacing w:val="-7"/>
          <w:w w:val="105"/>
        </w:rPr>
        <w:t xml:space="preserve"> </w:t>
      </w:r>
      <w:r>
        <w:rPr>
          <w:rFonts w:ascii="Acumin Pro" w:hAnsi="Acumin Pro"/>
          <w:color w:val="231F20"/>
          <w:spacing w:val="-5"/>
          <w:w w:val="105"/>
        </w:rPr>
        <w:t xml:space="preserve"> gerekmektedir. Bu, Dışişleri ve Ticaret Bakanlığı'nın zamanında güncellemeler yapmasına, gerekirse yolcularla iletişime geçmesine ve mümkün olan yerlerde yardım sunmasına yardımcı olur.</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D024C" w14:textId="77777777" w:rsidR="00CC3425" w:rsidRDefault="00CC3425">
      <w:r>
        <w:separator/>
      </w:r>
    </w:p>
  </w:endnote>
  <w:endnote w:type="continuationSeparator" w:id="0">
    <w:p w14:paraId="59655FBA" w14:textId="77777777" w:rsidR="00CC3425" w:rsidRDefault="00CC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002CC626"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Yurtdışı seyahat ve yabancı müdahale</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F63F35">
          <w:rPr>
            <w:rFonts w:ascii="Acumin Pro" w:hAnsi="Acumin Pro"/>
            <w:sz w:val="20"/>
            <w:szCs w:val="20"/>
          </w:rPr>
          <w:tab/>
        </w:r>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B5194" w14:textId="77777777" w:rsidR="00CC3425" w:rsidRDefault="00CC3425">
      <w:r>
        <w:separator/>
      </w:r>
    </w:p>
  </w:footnote>
  <w:footnote w:type="continuationSeparator" w:id="0">
    <w:p w14:paraId="50EE3F80" w14:textId="77777777" w:rsidR="00CC3425" w:rsidRDefault="00CC3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tr-TR" w:eastAsia="en-US" w:bidi="ar-SA"/>
      </w:rPr>
    </w:lvl>
    <w:lvl w:ilvl="1" w:tplc="D2467CCA">
      <w:numFmt w:val="bullet"/>
      <w:lvlText w:val="•"/>
      <w:lvlJc w:val="left"/>
      <w:pPr>
        <w:ind w:left="2018" w:hanging="360"/>
      </w:pPr>
      <w:rPr>
        <w:rFonts w:hint="default"/>
        <w:lang w:val="tr-TR" w:eastAsia="en-US" w:bidi="ar-SA"/>
      </w:rPr>
    </w:lvl>
    <w:lvl w:ilvl="2" w:tplc="EC5E537C">
      <w:numFmt w:val="bullet"/>
      <w:lvlText w:val="•"/>
      <w:lvlJc w:val="left"/>
      <w:pPr>
        <w:ind w:left="2896" w:hanging="360"/>
      </w:pPr>
      <w:rPr>
        <w:rFonts w:hint="default"/>
        <w:lang w:val="tr-TR" w:eastAsia="en-US" w:bidi="ar-SA"/>
      </w:rPr>
    </w:lvl>
    <w:lvl w:ilvl="3" w:tplc="2378FF3E">
      <w:numFmt w:val="bullet"/>
      <w:lvlText w:val="•"/>
      <w:lvlJc w:val="left"/>
      <w:pPr>
        <w:ind w:left="3774" w:hanging="360"/>
      </w:pPr>
      <w:rPr>
        <w:rFonts w:hint="default"/>
        <w:lang w:val="tr-TR" w:eastAsia="en-US" w:bidi="ar-SA"/>
      </w:rPr>
    </w:lvl>
    <w:lvl w:ilvl="4" w:tplc="B52A7B3C">
      <w:numFmt w:val="bullet"/>
      <w:lvlText w:val="•"/>
      <w:lvlJc w:val="left"/>
      <w:pPr>
        <w:ind w:left="4653" w:hanging="360"/>
      </w:pPr>
      <w:rPr>
        <w:rFonts w:hint="default"/>
        <w:lang w:val="tr-TR" w:eastAsia="en-US" w:bidi="ar-SA"/>
      </w:rPr>
    </w:lvl>
    <w:lvl w:ilvl="5" w:tplc="0A8E574A">
      <w:numFmt w:val="bullet"/>
      <w:lvlText w:val="•"/>
      <w:lvlJc w:val="left"/>
      <w:pPr>
        <w:ind w:left="5531" w:hanging="360"/>
      </w:pPr>
      <w:rPr>
        <w:rFonts w:hint="default"/>
        <w:lang w:val="tr-TR" w:eastAsia="en-US" w:bidi="ar-SA"/>
      </w:rPr>
    </w:lvl>
    <w:lvl w:ilvl="6" w:tplc="3B34AFD2">
      <w:numFmt w:val="bullet"/>
      <w:lvlText w:val="•"/>
      <w:lvlJc w:val="left"/>
      <w:pPr>
        <w:ind w:left="6409" w:hanging="360"/>
      </w:pPr>
      <w:rPr>
        <w:rFonts w:hint="default"/>
        <w:lang w:val="tr-TR" w:eastAsia="en-US" w:bidi="ar-SA"/>
      </w:rPr>
    </w:lvl>
    <w:lvl w:ilvl="7" w:tplc="B4721A5E">
      <w:numFmt w:val="bullet"/>
      <w:lvlText w:val="•"/>
      <w:lvlJc w:val="left"/>
      <w:pPr>
        <w:ind w:left="7287" w:hanging="360"/>
      </w:pPr>
      <w:rPr>
        <w:rFonts w:hint="default"/>
        <w:lang w:val="tr-TR" w:eastAsia="en-US" w:bidi="ar-SA"/>
      </w:rPr>
    </w:lvl>
    <w:lvl w:ilvl="8" w:tplc="FF8AE3C2">
      <w:numFmt w:val="bullet"/>
      <w:lvlText w:val="•"/>
      <w:lvlJc w:val="left"/>
      <w:pPr>
        <w:ind w:left="8166" w:hanging="360"/>
      </w:pPr>
      <w:rPr>
        <w:rFonts w:hint="default"/>
        <w:lang w:val="tr-TR"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C6C24"/>
    <w:rsid w:val="000D27EC"/>
    <w:rsid w:val="000D2FEE"/>
    <w:rsid w:val="000D7DC8"/>
    <w:rsid w:val="000E7534"/>
    <w:rsid w:val="000F1A92"/>
    <w:rsid w:val="000F450B"/>
    <w:rsid w:val="000F75AD"/>
    <w:rsid w:val="001039C9"/>
    <w:rsid w:val="001073A0"/>
    <w:rsid w:val="0011308E"/>
    <w:rsid w:val="00113B06"/>
    <w:rsid w:val="00130C4F"/>
    <w:rsid w:val="00132354"/>
    <w:rsid w:val="00144994"/>
    <w:rsid w:val="001502F2"/>
    <w:rsid w:val="001517E9"/>
    <w:rsid w:val="001547E0"/>
    <w:rsid w:val="0016150D"/>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1986"/>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1F90"/>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C5051"/>
    <w:rsid w:val="00BE258E"/>
    <w:rsid w:val="00C1119A"/>
    <w:rsid w:val="00C14765"/>
    <w:rsid w:val="00C30E6F"/>
    <w:rsid w:val="00C55FAC"/>
    <w:rsid w:val="00C60D07"/>
    <w:rsid w:val="00C61085"/>
    <w:rsid w:val="00C727E3"/>
    <w:rsid w:val="00C87895"/>
    <w:rsid w:val="00C9262E"/>
    <w:rsid w:val="00C96073"/>
    <w:rsid w:val="00C966DB"/>
    <w:rsid w:val="00CA3901"/>
    <w:rsid w:val="00CB0646"/>
    <w:rsid w:val="00CB1968"/>
    <w:rsid w:val="00CB3198"/>
    <w:rsid w:val="00CC3425"/>
    <w:rsid w:val="00CF7A2C"/>
    <w:rsid w:val="00D01D48"/>
    <w:rsid w:val="00D0646C"/>
    <w:rsid w:val="00D27A26"/>
    <w:rsid w:val="00D607CB"/>
    <w:rsid w:val="00D8626E"/>
    <w:rsid w:val="00D92D80"/>
    <w:rsid w:val="00DA2D96"/>
    <w:rsid w:val="00DB523A"/>
    <w:rsid w:val="00DC4A0C"/>
    <w:rsid w:val="00E16713"/>
    <w:rsid w:val="00E337DE"/>
    <w:rsid w:val="00E418B4"/>
    <w:rsid w:val="00E4555C"/>
    <w:rsid w:val="00E45C92"/>
    <w:rsid w:val="00E64873"/>
    <w:rsid w:val="00E71845"/>
    <w:rsid w:val="00E82969"/>
    <w:rsid w:val="00E956A8"/>
    <w:rsid w:val="00EA0987"/>
    <w:rsid w:val="00EA4802"/>
    <w:rsid w:val="00ED1650"/>
    <w:rsid w:val="00ED51CC"/>
    <w:rsid w:val="00EE0CCE"/>
    <w:rsid w:val="00EE526F"/>
    <w:rsid w:val="00EF57A8"/>
    <w:rsid w:val="00EF5A32"/>
    <w:rsid w:val="00F067B1"/>
    <w:rsid w:val="00F11AC5"/>
    <w:rsid w:val="00F177A4"/>
    <w:rsid w:val="00F225D0"/>
    <w:rsid w:val="00F27982"/>
    <w:rsid w:val="00F32C02"/>
    <w:rsid w:val="00F4150A"/>
    <w:rsid w:val="00F565EC"/>
    <w:rsid w:val="00F63F35"/>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 w:val="2126D74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CRFIWEBSITE-145050222-653</_dlc_DocId>
    <_dlc_DocIdUrl xmlns="c78cdbf8-4243-4362-8765-2acd0e03065b">
      <Url>https://azurediagovt.sharepoint.com/sites/EXT-CommunityResiliencetoForeignInterferencewebsite_MEC/_layouts/15/DocIdRedir.aspx?ID=CRFIWEBSITE-145050222-653</Url>
      <Description>CRFIWEBSITE-145050222-653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88C54BC-DE85-46FF-BB02-8BF274EDE227}"/>
</file>

<file path=customXml/itemProps2.xml><?xml version="1.0" encoding="utf-8"?>
<ds:datastoreItem xmlns:ds="http://schemas.openxmlformats.org/officeDocument/2006/customXml" ds:itemID="{21E23726-B350-4C2F-ACC7-EB6B8E42124E}"/>
</file>

<file path=customXml/itemProps3.xml><?xml version="1.0" encoding="utf-8"?>
<ds:datastoreItem xmlns:ds="http://schemas.openxmlformats.org/officeDocument/2006/customXml" ds:itemID="{3C72D7F4-3C5C-4925-A1E1-55CE2143043D}"/>
</file>

<file path=customXml/itemProps4.xml><?xml version="1.0" encoding="utf-8"?>
<ds:datastoreItem xmlns:ds="http://schemas.openxmlformats.org/officeDocument/2006/customXml" ds:itemID="{A246D5C2-6E79-445E-8CC0-5C56B520CB07}"/>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3252</Characters>
  <Application>Microsoft Office Word</Application>
  <DocSecurity>2</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2026-08-25T03:44:00Z</dcterms:created>
  <dcterms:modified xsi:type="dcterms:W3CDTF">2026-08-25T03:44:00Z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839200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f6e4e522-4c35-4fb6-a604-71e70afcece7</vt:lpwstr>
  </property>
  <property fmtid="{D5CDD505-2E9C-101B-9397-08002B2CF9AE}" pid="14" name="DIASecurityClassification">
    <vt:i4>2</vt:i4>
  </property>
  <property fmtid="{D5CDD505-2E9C-101B-9397-08002B2CF9AE}" pid="15" name="TriggerFlowInfo">
    <vt:lpwstr/>
  </property>
</Properties>
</file>